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E2949" w14:textId="77777777" w:rsidR="0084453D" w:rsidRDefault="00E30BAC">
      <w:pPr>
        <w:spacing w:before="200" w:after="80"/>
      </w:pPr>
      <w:r>
        <w:rPr>
          <w:b/>
          <w:bCs/>
          <w:color w:val="1F3864"/>
          <w:sz w:val="44"/>
          <w:szCs w:val="44"/>
        </w:rPr>
        <w:t>WDI 2026 Topic Scoring Criteria</w:t>
      </w:r>
    </w:p>
    <w:p w14:paraId="7DEF4AD8" w14:textId="77777777" w:rsidR="0084453D" w:rsidRDefault="00E30BAC">
      <w:pPr>
        <w:spacing w:after="300"/>
      </w:pPr>
      <w:r>
        <w:rPr>
          <w:b/>
          <w:bCs/>
          <w:color w:val="2E75B6"/>
          <w:sz w:val="36"/>
          <w:szCs w:val="36"/>
        </w:rPr>
        <w:t>Topic 6: Risks and Opportunities</w:t>
      </w:r>
    </w:p>
    <w:p w14:paraId="672A6659" w14:textId="77777777" w:rsidR="0084453D" w:rsidRDefault="0084453D">
      <w:pPr>
        <w:pBdr>
          <w:bottom w:val="single" w:sz="4" w:space="1" w:color="D9D9D9"/>
        </w:pBdr>
        <w:spacing w:before="240" w:after="240"/>
      </w:pPr>
    </w:p>
    <w:p w14:paraId="043D9F99" w14:textId="77777777" w:rsidR="0084453D" w:rsidRDefault="00E30BAC">
      <w:pPr>
        <w:pStyle w:val="Heading1"/>
        <w:spacing w:before="360" w:after="160"/>
      </w:pPr>
      <w:r>
        <w:rPr>
          <w:b/>
          <w:bCs/>
          <w:color w:val="1F3864"/>
          <w:sz w:val="34"/>
          <w:szCs w:val="34"/>
        </w:rPr>
        <w:t>1. Topic Overview</w:t>
      </w:r>
    </w:p>
    <w:p w14:paraId="44D0985C" w14:textId="77777777" w:rsidR="0084453D" w:rsidRDefault="75A5501F">
      <w:pPr>
        <w:spacing w:before="80" w:after="80"/>
      </w:pPr>
      <w:r w:rsidRPr="75A5501F">
        <w:rPr>
          <w:color w:val="1A1A1A"/>
        </w:rPr>
        <w:t xml:space="preserve">This topic assesses how the company identifies, describes, and responds to workforce risks and opportunities across its direct operations and value chain. It covers the assessment process used to identify risks and opportunities (Q2.2), the specific risks and opportunities the company </w:t>
      </w:r>
      <w:proofErr w:type="spellStart"/>
      <w:r w:rsidRPr="75A5501F">
        <w:rPr>
          <w:color w:val="1A1A1A"/>
        </w:rPr>
        <w:t>recognises</w:t>
      </w:r>
      <w:proofErr w:type="spellEnd"/>
      <w:r w:rsidRPr="75A5501F">
        <w:rPr>
          <w:color w:val="1A1A1A"/>
        </w:rPr>
        <w:t xml:space="preserve"> (Q2.3), and the actions taken or planned in response (Q2.4).</w:t>
      </w:r>
    </w:p>
    <w:p w14:paraId="22229638" w14:textId="77777777" w:rsidR="0084453D" w:rsidRDefault="00E30BAC">
      <w:pPr>
        <w:spacing w:before="80" w:after="80"/>
      </w:pPr>
      <w:r>
        <w:rPr>
          <w:color w:val="1A1A1A"/>
        </w:rPr>
        <w:t>The topic is scored using three questions: Q2.2 (risk and opportunity assessment process, table), Q2.3 (identification of up to 3 risks and 3 opportunities across direct operations and value chain, table), and Q2.4 (actions taken or planned per identified risk/opportunity, table). The notes field Q2.B is excluded from scoring.</w:t>
      </w:r>
    </w:p>
    <w:p w14:paraId="35BDB5C4" w14:textId="77777777" w:rsidR="0084453D" w:rsidRDefault="00E30BAC">
      <w:pPr>
        <w:pStyle w:val="Heading2"/>
        <w:spacing w:before="280" w:after="120"/>
      </w:pPr>
      <w:r>
        <w:rPr>
          <w:b/>
          <w:bCs/>
          <w:color w:val="2E75B6"/>
        </w:rPr>
        <w:t>Critical Scoring Principle: Quality Over Quantity</w:t>
      </w:r>
    </w:p>
    <w:p w14:paraId="22850876" w14:textId="77777777" w:rsidR="0084453D" w:rsidRDefault="75A5501F">
      <w:pPr>
        <w:spacing w:before="80" w:after="80"/>
      </w:pPr>
      <w:r w:rsidRPr="75A5501F">
        <w:rPr>
          <w:color w:val="1A1A1A"/>
        </w:rPr>
        <w:t xml:space="preserve">A fundamental principle for this topic: the number of risks, opportunities, or actions disclosed is NOT the primary scoring differentiator. The guidance allows up to 3 opportunities and 3 risks per scope (direct operations and value </w:t>
      </w:r>
      <w:proofErr w:type="gramStart"/>
      <w:r w:rsidRPr="75A5501F">
        <w:rPr>
          <w:color w:val="1A1A1A"/>
        </w:rPr>
        <w:t>chain) —</w:t>
      </w:r>
      <w:proofErr w:type="gramEnd"/>
      <w:r w:rsidRPr="75A5501F">
        <w:rPr>
          <w:color w:val="1A1A1A"/>
        </w:rPr>
        <w:t xml:space="preserve"> meaning up to 12 entries in Q2.3 and up to 12 action rows in Q2.4. A company that identifies 1 risk with a deeply specific, well-explained description and a concrete, stakeholder-consulted action plan scores higher than a company that lists 6 risks/opportunities with vague one-line descriptions. Depth, specificity, and genuine engagement with the identified topic are what differentiate scores — not filling more rows.</w:t>
      </w:r>
    </w:p>
    <w:p w14:paraId="23CAF080" w14:textId="77777777" w:rsidR="0084453D" w:rsidRDefault="00E30BAC">
      <w:pPr>
        <w:pStyle w:val="Heading2"/>
        <w:spacing w:before="280" w:after="120"/>
      </w:pPr>
      <w:r>
        <w:rPr>
          <w:b/>
          <w:bCs/>
          <w:color w:val="2E75B6"/>
        </w:rPr>
        <w:t>Applicability Logic: OR-then-AND Across Three Questions</w:t>
      </w:r>
    </w:p>
    <w:p w14:paraId="578B5786" w14:textId="77777777" w:rsidR="0084453D" w:rsidRDefault="75A5501F">
      <w:pPr>
        <w:spacing w:before="80" w:after="80"/>
      </w:pPr>
      <w:r w:rsidRPr="75A5501F">
        <w:rPr>
          <w:color w:val="1A1A1A"/>
        </w:rPr>
        <w:t xml:space="preserve">All three questions are always applicable. However, Q2.4 feeds all three dimensions (Awareness from ‘if no action, explain plans’; Approach from stakeholder consultation; Action from steps taken), meaning each dimension draws from multiple questions and the OR-then-AND rule applies. For Awareness: Q2.3 is the primary always-applicable source; Q2.4’s ‘plans’ column adds OR-reachable evidence. For Approach: Q2.2 and Q2.4’s stakeholder consultation column are both </w:t>
      </w:r>
      <w:proofErr w:type="gramStart"/>
      <w:r w:rsidRPr="75A5501F">
        <w:rPr>
          <w:color w:val="1A1A1A"/>
        </w:rPr>
        <w:t>always-applicable</w:t>
      </w:r>
      <w:proofErr w:type="gramEnd"/>
      <w:r w:rsidRPr="75A5501F">
        <w:rPr>
          <w:color w:val="1A1A1A"/>
        </w:rPr>
        <w:t>; the top level requires both to be strong (AND). For Action: Q2.4’s ‘action taken’ column is the sole source; the OR-then-AND logic applies across the rows within Q2.4 (across risks/opportunities and across direct ops vs. value chain).</w:t>
      </w:r>
    </w:p>
    <w:p w14:paraId="499DABAE" w14:textId="77777777" w:rsidR="0084453D" w:rsidRDefault="00E30BAC">
      <w:pPr>
        <w:pStyle w:val="Heading2"/>
        <w:spacing w:before="280" w:after="120"/>
      </w:pPr>
      <w:r>
        <w:rPr>
          <w:b/>
          <w:bCs/>
          <w:color w:val="2E75B6"/>
        </w:rPr>
        <w:t>3A Dimension Mapping</w:t>
      </w:r>
    </w:p>
    <w:p w14:paraId="701EF52B" w14:textId="77777777" w:rsidR="0084453D" w:rsidRDefault="75A5501F">
      <w:pPr>
        <w:spacing w:before="80" w:after="80"/>
      </w:pPr>
      <w:r w:rsidRPr="75A5501F">
        <w:rPr>
          <w:color w:val="1A1A1A"/>
        </w:rPr>
        <w:t xml:space="preserve">Awareness: Q2.3 (identification of specific risks and opportunities with descriptions, always applicable) + Q2.4’s ‘if no action, explain plans’ column (recognition of gap and forward intent where no action yet taken). Approach: Q2.2 (the assessment process: approach types from the dropdown, process description, workforce coverage, frequency, both scopes) + Q2.4’s stakeholder consultation column (select all that apply: Workers, Trade unions, </w:t>
      </w:r>
      <w:proofErr w:type="gramStart"/>
      <w:r w:rsidRPr="75A5501F">
        <w:rPr>
          <w:color w:val="1A1A1A"/>
        </w:rPr>
        <w:t>Other</w:t>
      </w:r>
      <w:proofErr w:type="gramEnd"/>
      <w:r w:rsidRPr="75A5501F">
        <w:rPr>
          <w:color w:val="1A1A1A"/>
        </w:rPr>
        <w:t xml:space="preserve"> worker representative bodies, </w:t>
      </w:r>
      <w:proofErr w:type="spellStart"/>
      <w:r w:rsidRPr="75A5501F">
        <w:rPr>
          <w:color w:val="1A1A1A"/>
        </w:rPr>
        <w:t>Labour</w:t>
      </w:r>
      <w:proofErr w:type="spellEnd"/>
      <w:r w:rsidRPr="75A5501F">
        <w:rPr>
          <w:color w:val="1A1A1A"/>
        </w:rPr>
        <w:t xml:space="preserve"> rights CSOs, Other). Action: Q2.4’s ‘action taken’ column (steps taken to manage each risk or </w:t>
      </w:r>
      <w:proofErr w:type="spellStart"/>
      <w:r w:rsidRPr="75A5501F">
        <w:rPr>
          <w:color w:val="1A1A1A"/>
        </w:rPr>
        <w:t>capitalise</w:t>
      </w:r>
      <w:proofErr w:type="spellEnd"/>
      <w:r w:rsidRPr="75A5501F">
        <w:rPr>
          <w:color w:val="1A1A1A"/>
        </w:rPr>
        <w:t xml:space="preserve"> on each </w:t>
      </w:r>
      <w:proofErr w:type="gramStart"/>
      <w:r w:rsidRPr="75A5501F">
        <w:rPr>
          <w:color w:val="1A1A1A"/>
        </w:rPr>
        <w:t>opportunity,</w:t>
      </w:r>
      <w:proofErr w:type="gramEnd"/>
      <w:r w:rsidRPr="75A5501F">
        <w:rPr>
          <w:color w:val="1A1A1A"/>
        </w:rPr>
        <w:t xml:space="preserve"> per row, for both direct operations and value chain scopes).</w:t>
      </w:r>
    </w:p>
    <w:p w14:paraId="5B009148" w14:textId="77777777" w:rsidR="0084453D" w:rsidRDefault="00E30BAC">
      <w:pPr>
        <w:spacing w:before="80" w:after="60"/>
      </w:pPr>
      <w:r>
        <w:rPr>
          <w:i/>
          <w:iCs/>
          <w:color w:val="666666"/>
          <w:sz w:val="17"/>
          <w:szCs w:val="17"/>
        </w:rPr>
        <w:t>Q2.B (Notes on Risks and Opportunities) is excluded from scoring.</w:t>
      </w:r>
    </w:p>
    <w:p w14:paraId="0A37501D" w14:textId="77777777" w:rsidR="0084453D" w:rsidRDefault="0084453D">
      <w:pPr>
        <w:pBdr>
          <w:bottom w:val="single" w:sz="4" w:space="1" w:color="D9D9D9"/>
        </w:pBdr>
        <w:spacing w:before="240" w:after="240"/>
      </w:pPr>
    </w:p>
    <w:p w14:paraId="3736FDB2" w14:textId="77777777" w:rsidR="0084453D" w:rsidRDefault="00E30BAC">
      <w:pPr>
        <w:pStyle w:val="Heading1"/>
        <w:spacing w:before="360" w:after="160"/>
      </w:pPr>
      <w:r>
        <w:rPr>
          <w:b/>
          <w:bCs/>
          <w:color w:val="1F3864"/>
          <w:sz w:val="34"/>
          <w:szCs w:val="34"/>
        </w:rPr>
        <w:t>2. Dimension Definitions</w:t>
      </w:r>
    </w:p>
    <w:p w14:paraId="552426AA" w14:textId="77777777" w:rsidR="0084453D" w:rsidRDefault="00E30BAC">
      <w:pPr>
        <w:spacing w:before="80" w:after="80"/>
      </w:pPr>
      <w:r>
        <w:rPr>
          <w:color w:val="1A1A1A"/>
        </w:rPr>
        <w:t>The table below defines what each dimension means specifically in the context of Risks and Opportunities.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60"/>
        <w:gridCol w:w="3360"/>
        <w:gridCol w:w="3360"/>
      </w:tblGrid>
      <w:tr w:rsidR="0084453D" w14:paraId="046471E1" w14:textId="77777777" w:rsidTr="75A5501F">
        <w:trPr>
          <w:tblHeader/>
        </w:trPr>
        <w:tc>
          <w:tcPr>
            <w:tcW w:w="3360" w:type="dxa"/>
            <w:tcBorders>
              <w:top w:val="single" w:sz="4" w:space="0" w:color="2E75B6"/>
              <w:left w:val="single" w:sz="1" w:space="0" w:color="CCCCCC"/>
              <w:bottom w:val="single" w:sz="4" w:space="0" w:color="2E75B6"/>
              <w:right w:val="single" w:sz="1" w:space="0" w:color="CCCCCC"/>
            </w:tcBorders>
            <w:shd w:val="clear" w:color="auto" w:fill="2E75B6"/>
            <w:tcMar>
              <w:top w:w="100" w:type="dxa"/>
              <w:left w:w="130" w:type="dxa"/>
              <w:bottom w:w="100" w:type="dxa"/>
              <w:right w:w="130" w:type="dxa"/>
            </w:tcMar>
            <w:vAlign w:val="center"/>
          </w:tcPr>
          <w:p w14:paraId="1C949072" w14:textId="77777777" w:rsidR="0084453D" w:rsidRDefault="00E30BAC">
            <w:pPr>
              <w:jc w:val="center"/>
            </w:pPr>
            <w:r>
              <w:rPr>
                <w:b/>
                <w:bCs/>
                <w:color w:val="FFFFFF"/>
                <w:sz w:val="17"/>
                <w:szCs w:val="17"/>
              </w:rPr>
              <w:lastRenderedPageBreak/>
              <w:t>AWARENESS</w:t>
            </w:r>
          </w:p>
        </w:tc>
        <w:tc>
          <w:tcPr>
            <w:tcW w:w="3360" w:type="dxa"/>
            <w:tcBorders>
              <w:top w:val="single" w:sz="4" w:space="0" w:color="70AD47"/>
              <w:left w:val="single" w:sz="1" w:space="0" w:color="CCCCCC"/>
              <w:bottom w:val="single" w:sz="4" w:space="0" w:color="70AD47"/>
              <w:right w:val="single" w:sz="1" w:space="0" w:color="CCCCCC"/>
            </w:tcBorders>
            <w:shd w:val="clear" w:color="auto" w:fill="70AD47"/>
            <w:tcMar>
              <w:top w:w="100" w:type="dxa"/>
              <w:left w:w="130" w:type="dxa"/>
              <w:bottom w:w="100" w:type="dxa"/>
              <w:right w:w="130" w:type="dxa"/>
            </w:tcMar>
            <w:vAlign w:val="center"/>
          </w:tcPr>
          <w:p w14:paraId="17B19EBD" w14:textId="77777777" w:rsidR="0084453D" w:rsidRDefault="00E30BAC">
            <w:pPr>
              <w:jc w:val="center"/>
            </w:pPr>
            <w:r>
              <w:rPr>
                <w:b/>
                <w:bCs/>
                <w:color w:val="FFFFFF"/>
                <w:sz w:val="17"/>
                <w:szCs w:val="17"/>
              </w:rPr>
              <w:t>APPROACH</w:t>
            </w:r>
          </w:p>
        </w:tc>
        <w:tc>
          <w:tcPr>
            <w:tcW w:w="3360" w:type="dxa"/>
            <w:tcBorders>
              <w:top w:val="single" w:sz="4" w:space="0" w:color="ED7D31"/>
              <w:left w:val="single" w:sz="1" w:space="0" w:color="CCCCCC"/>
              <w:bottom w:val="single" w:sz="4" w:space="0" w:color="ED7D31"/>
              <w:right w:val="single" w:sz="1" w:space="0" w:color="CCCCCC"/>
            </w:tcBorders>
            <w:shd w:val="clear" w:color="auto" w:fill="ED7D31"/>
            <w:tcMar>
              <w:top w:w="100" w:type="dxa"/>
              <w:left w:w="130" w:type="dxa"/>
              <w:bottom w:w="100" w:type="dxa"/>
              <w:right w:w="130" w:type="dxa"/>
            </w:tcMar>
            <w:vAlign w:val="center"/>
          </w:tcPr>
          <w:p w14:paraId="5F5A5520" w14:textId="77777777" w:rsidR="0084453D" w:rsidRDefault="00E30BAC">
            <w:pPr>
              <w:jc w:val="center"/>
            </w:pPr>
            <w:r>
              <w:rPr>
                <w:b/>
                <w:bCs/>
                <w:color w:val="FFFFFF"/>
                <w:sz w:val="17"/>
                <w:szCs w:val="17"/>
              </w:rPr>
              <w:t>ACTION</w:t>
            </w:r>
          </w:p>
        </w:tc>
      </w:tr>
      <w:tr w:rsidR="0084453D" w14:paraId="6859980B" w14:textId="77777777" w:rsidTr="75A5501F">
        <w:tc>
          <w:tcPr>
            <w:tcW w:w="336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8E276DD" w14:textId="77777777" w:rsidR="0084453D" w:rsidRDefault="75A5501F">
            <w:pPr>
              <w:spacing w:before="20" w:after="20"/>
            </w:pPr>
            <w:r w:rsidRPr="75A5501F">
              <w:rPr>
                <w:color w:val="1A1A1A"/>
                <w:sz w:val="18"/>
                <w:szCs w:val="18"/>
              </w:rPr>
              <w:t xml:space="preserve">Awareness is assessed from Q2.3 (always applicable, primary source) and Q2.4’s ‘if no action’ column (always applicable, secondary source).  Q2.3 uses a fixed table with up to 3 rows each for Direct Operations and Value Chain, covering both opportunities AND risks. For each row, the company selects a category from 17 predefined options (including: Attracting and retaining talent, Automation &amp; AI, Compliance and regulation, Diversity and Inclusion, Health &amp; Safety and Wellbeing, Human rights, Just Transition, </w:t>
            </w:r>
            <w:proofErr w:type="spellStart"/>
            <w:r w:rsidRPr="75A5501F">
              <w:rPr>
                <w:color w:val="1A1A1A"/>
                <w:sz w:val="18"/>
                <w:szCs w:val="18"/>
              </w:rPr>
              <w:t>Labour</w:t>
            </w:r>
            <w:proofErr w:type="spellEnd"/>
            <w:r w:rsidRPr="75A5501F">
              <w:rPr>
                <w:color w:val="1A1A1A"/>
                <w:sz w:val="18"/>
                <w:szCs w:val="18"/>
              </w:rPr>
              <w:t xml:space="preserve"> rights, Modern slavery &amp; child </w:t>
            </w:r>
            <w:proofErr w:type="spellStart"/>
            <w:r w:rsidRPr="75A5501F">
              <w:rPr>
                <w:color w:val="1A1A1A"/>
                <w:sz w:val="18"/>
                <w:szCs w:val="18"/>
              </w:rPr>
              <w:t>labour</w:t>
            </w:r>
            <w:proofErr w:type="spellEnd"/>
            <w:r w:rsidRPr="75A5501F">
              <w:rPr>
                <w:color w:val="1A1A1A"/>
                <w:sz w:val="18"/>
                <w:szCs w:val="18"/>
              </w:rPr>
              <w:t xml:space="preserve">, Sourcing practices, Working practices and conditions, and others) and provides a 150-word description.  Scoring is NOT based on how many rows are filled. What matters: the specificity and depth of descriptions (naming affected populations, locations, business lines, or supply chain tiers rather than generic statements); whether the company addresses BOTH direct operations AND value chain workforces; whether the identified risks/opportunities span genuinely diverse areas (e.g., a mix of operational and human rights topics) rather than clustering narrowly.  Q2.4’s ‘if no action’ column contributes Awareness evidence where the company </w:t>
            </w:r>
            <w:proofErr w:type="spellStart"/>
            <w:r w:rsidRPr="75A5501F">
              <w:rPr>
                <w:color w:val="1A1A1A"/>
                <w:sz w:val="18"/>
                <w:szCs w:val="18"/>
              </w:rPr>
              <w:t>recognises</w:t>
            </w:r>
            <w:proofErr w:type="spellEnd"/>
            <w:r w:rsidRPr="75A5501F">
              <w:rPr>
                <w:color w:val="1A1A1A"/>
                <w:sz w:val="18"/>
                <w:szCs w:val="18"/>
              </w:rPr>
              <w:t xml:space="preserve"> it has not yet acted and describes forward intent or alternative measures.  Primary evidence: specificity of descriptions in Q2.3, breadth across workforce scopes (direct ops and value chain), and diversity of categories selected.</w:t>
            </w:r>
          </w:p>
        </w:tc>
        <w:tc>
          <w:tcPr>
            <w:tcW w:w="336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2D8BD067" w14:textId="77777777" w:rsidR="0084453D" w:rsidRDefault="75A5501F">
            <w:pPr>
              <w:spacing w:before="20" w:after="20"/>
            </w:pPr>
            <w:r w:rsidRPr="75A5501F">
              <w:rPr>
                <w:color w:val="1A1A1A"/>
                <w:sz w:val="18"/>
                <w:szCs w:val="18"/>
              </w:rPr>
              <w:t xml:space="preserve">Approach is assessed from Q2.2 (always applicable, primary source) and Q2.4’s stakeholder consultation column (always applicable, secondary source).  Q2.2 uses a structured table with fixed rows for Direct Operations and Value Chain, each covering: (1) Approach type — select all that apply from: Human rights due diligence process, Consultation with workers/unions/worker representative bodies, Desk-based research, External reports, Internal grievance mechanisms or equivalent channel, Supplier audits; (2) Description of the process (300 words); (3) Workforce coverage — which contract types are included in the assessment; (4) Frequency — Continuous/ongoing, Quarterly, Biannually, Annually, or Ad hoc.  Scoring rewards: breadth of approach types selected (especially HRDD integration and worker consultation, which are more demanding than desk research alone); depth of process description (how it actually works, not just that it exists); coverage of both scopes (direct operations AND value chain) and breadth of worker categories covered; and frequency (continuous is stronger than ad hoc).  Q2.4’s stakeholder consultation column adds Approach evidence: which stakeholder types were consulted in designing/implementing the actions (Workers; Trade unions; Other worker representative bodies; </w:t>
            </w:r>
            <w:proofErr w:type="spellStart"/>
            <w:r w:rsidRPr="75A5501F">
              <w:rPr>
                <w:color w:val="1A1A1A"/>
                <w:sz w:val="18"/>
                <w:szCs w:val="18"/>
              </w:rPr>
              <w:t>Labour</w:t>
            </w:r>
            <w:proofErr w:type="spellEnd"/>
            <w:r w:rsidRPr="75A5501F">
              <w:rPr>
                <w:color w:val="1A1A1A"/>
                <w:sz w:val="18"/>
                <w:szCs w:val="18"/>
              </w:rPr>
              <w:t xml:space="preserve"> rights CSOs; Other).  OR-then-AND </w:t>
            </w:r>
            <w:proofErr w:type="gramStart"/>
            <w:r w:rsidRPr="75A5501F">
              <w:rPr>
                <w:color w:val="1A1A1A"/>
                <w:sz w:val="18"/>
                <w:szCs w:val="18"/>
              </w:rPr>
              <w:t>applies:</w:t>
            </w:r>
            <w:proofErr w:type="gramEnd"/>
            <w:r w:rsidRPr="75A5501F">
              <w:rPr>
                <w:color w:val="1A1A1A"/>
                <w:sz w:val="18"/>
                <w:szCs w:val="18"/>
              </w:rPr>
              <w:t xml:space="preserve"> strong Q2.2 alone can reach mid-tier levels. The top level requires AND: Q2.2 must be strong across both scopes AND Q2.4 must show broad stakeholder consultation for the relevant actions.  Primary evidence: breadth of approach types in Q2.2, process description quality, both-scope coverage, frequency, and stakeholder consultation breadth in Q2.4.</w:t>
            </w:r>
          </w:p>
        </w:tc>
        <w:tc>
          <w:tcPr>
            <w:tcW w:w="336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EDE9A51" w14:textId="77777777" w:rsidR="0084453D" w:rsidRDefault="75A5501F">
            <w:pPr>
              <w:spacing w:before="20" w:after="20"/>
            </w:pPr>
            <w:r w:rsidRPr="75A5501F">
              <w:rPr>
                <w:color w:val="1A1A1A"/>
                <w:sz w:val="18"/>
                <w:szCs w:val="18"/>
              </w:rPr>
              <w:t xml:space="preserve">Action is assessed from Q2.4’s ‘action taken’ column (always </w:t>
            </w:r>
            <w:proofErr w:type="gramStart"/>
            <w:r w:rsidRPr="75A5501F">
              <w:rPr>
                <w:color w:val="1A1A1A"/>
                <w:sz w:val="18"/>
                <w:szCs w:val="18"/>
              </w:rPr>
              <w:t>applicable) —</w:t>
            </w:r>
            <w:proofErr w:type="gramEnd"/>
            <w:r w:rsidRPr="75A5501F">
              <w:rPr>
                <w:color w:val="1A1A1A"/>
                <w:sz w:val="18"/>
                <w:szCs w:val="18"/>
              </w:rPr>
              <w:t xml:space="preserve"> the steps the company has taken to manage each identified workforce risk and/or </w:t>
            </w:r>
            <w:proofErr w:type="spellStart"/>
            <w:r w:rsidRPr="75A5501F">
              <w:rPr>
                <w:color w:val="1A1A1A"/>
                <w:sz w:val="18"/>
                <w:szCs w:val="18"/>
              </w:rPr>
              <w:t>capitalise</w:t>
            </w:r>
            <w:proofErr w:type="spellEnd"/>
            <w:r w:rsidRPr="75A5501F">
              <w:rPr>
                <w:color w:val="1A1A1A"/>
                <w:sz w:val="18"/>
                <w:szCs w:val="18"/>
              </w:rPr>
              <w:t xml:space="preserve"> on each opportunity.  Q2.4 has fixed rows corresponding to the risks/opportunities from Q2.3, covering both Direct Operations and Value Chain scopes. For each row, the company either: describes the action taken (150 words, naming what part of the business/value chain is involved, which workers are affected, and how the action manages the risk or adds value) — OR — explains in the ‘if no action’ column why no action has been taken and what future plans exist.  Key scoring principles: quality and specificity of action descriptions (naming the business unit, the affected worker group, the specific step taken) matter far more than the number of actions described; breadth across both scopes (direct operations AND value chain) matters at higher levels; a credible action for one risk explained in depth is better than superficial entries across all six rows. Where no action has been taken, the quality of the ‘plans’ column contributes to Awareness (not Action), so Action scores 0 for those rows.  OR-then-AND applies across the Q2.4 rows: OR logic at mid-levels (one or two strong action descriptions can reach adequate); AND logic at the top level (action must be described for risks/opportunities in BOTH scopes, not just one).  Primary evidence: specificity and depth of action descriptions, affected worker population and business area named, and both-scope coverage at the top level.</w:t>
            </w:r>
          </w:p>
        </w:tc>
      </w:tr>
    </w:tbl>
    <w:p w14:paraId="5DAB6C7B" w14:textId="77777777" w:rsidR="0084453D" w:rsidRDefault="0084453D">
      <w:pPr>
        <w:pBdr>
          <w:bottom w:val="single" w:sz="4" w:space="1" w:color="D9D9D9"/>
        </w:pBdr>
        <w:spacing w:before="240" w:after="240"/>
      </w:pPr>
    </w:p>
    <w:p w14:paraId="6E9172E9" w14:textId="77777777" w:rsidR="0084453D" w:rsidRDefault="00E30BAC">
      <w:pPr>
        <w:pStyle w:val="Heading1"/>
        <w:spacing w:before="360" w:after="160"/>
      </w:pPr>
      <w:r>
        <w:rPr>
          <w:b/>
          <w:bCs/>
          <w:color w:val="1F3864"/>
          <w:sz w:val="34"/>
          <w:szCs w:val="34"/>
        </w:rPr>
        <w:t>3. Scoring Rubric — All Dimensions</w:t>
      </w:r>
    </w:p>
    <w:p w14:paraId="73240116" w14:textId="77777777" w:rsidR="0084453D" w:rsidRDefault="00E30BAC">
      <w:pPr>
        <w:spacing w:before="80" w:after="80"/>
      </w:pPr>
      <w:r>
        <w:rPr>
          <w:color w:val="1A1A1A"/>
        </w:rPr>
        <w:t>The table below presents scoring criteria for all three dimensions in sequence.</w:t>
      </w:r>
    </w:p>
    <w:p w14:paraId="5B41511D" w14:textId="77777777" w:rsidR="0084453D" w:rsidRDefault="00E30BAC">
      <w:pPr>
        <w:spacing w:before="80" w:after="60"/>
      </w:pPr>
      <w:r>
        <w:rPr>
          <w:i/>
          <w:iCs/>
          <w:color w:val="666666"/>
          <w:sz w:val="17"/>
          <w:szCs w:val="17"/>
        </w:rPr>
        <w:t>Scale lengths vary by dimension: Awareness uses 0,1,3,5. Approach uses 0,1,2,3,5. Action uses 0,1,3,5. Every dimension’s top level is 5. OR-then-AND applies explicitly within each dimension.</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0"/>
        <w:gridCol w:w="1195"/>
        <w:gridCol w:w="677"/>
        <w:gridCol w:w="1190"/>
        <w:gridCol w:w="3642"/>
        <w:gridCol w:w="2716"/>
      </w:tblGrid>
      <w:tr w:rsidR="0084453D" w14:paraId="09CC2D0F" w14:textId="77777777" w:rsidTr="7A91EA22">
        <w:trPr>
          <w:tblHeader/>
        </w:trPr>
        <w:tc>
          <w:tcPr>
            <w:tcW w:w="600" w:type="dxa"/>
            <w:tcBorders>
              <w:top w:val="single" w:sz="4" w:space="0" w:color="1F3864" w:themeColor="accent1" w:themeShade="80"/>
              <w:left w:val="single" w:sz="1" w:space="0" w:color="CCCCCC"/>
              <w:bottom w:val="single" w:sz="4" w:space="0" w:color="1F3864" w:themeColor="accent1" w:themeShade="80"/>
              <w:right w:val="single" w:sz="1" w:space="0" w:color="CCCCCC"/>
            </w:tcBorders>
            <w:shd w:val="clear" w:color="auto" w:fill="1F3864" w:themeFill="accent1" w:themeFillShade="80"/>
            <w:tcMar>
              <w:top w:w="100" w:type="dxa"/>
              <w:left w:w="130" w:type="dxa"/>
              <w:bottom w:w="100" w:type="dxa"/>
              <w:right w:w="130" w:type="dxa"/>
            </w:tcMar>
            <w:vAlign w:val="center"/>
          </w:tcPr>
          <w:p w14:paraId="6D9C4B6C" w14:textId="77777777" w:rsidR="0084453D" w:rsidRDefault="00E30BAC">
            <w:pPr>
              <w:jc w:val="center"/>
            </w:pPr>
            <w:r>
              <w:rPr>
                <w:b/>
                <w:bCs/>
                <w:color w:val="FFFFFF"/>
                <w:sz w:val="15"/>
                <w:szCs w:val="15"/>
              </w:rPr>
              <w:lastRenderedPageBreak/>
              <w:t>Topic ID</w:t>
            </w:r>
          </w:p>
        </w:tc>
        <w:tc>
          <w:tcPr>
            <w:tcW w:w="1200" w:type="dxa"/>
            <w:tcBorders>
              <w:top w:val="single" w:sz="4" w:space="0" w:color="1F3864" w:themeColor="accent1" w:themeShade="80"/>
              <w:left w:val="single" w:sz="1" w:space="0" w:color="CCCCCC"/>
              <w:bottom w:val="single" w:sz="4" w:space="0" w:color="1F3864" w:themeColor="accent1" w:themeShade="80"/>
              <w:right w:val="single" w:sz="1" w:space="0" w:color="CCCCCC"/>
            </w:tcBorders>
            <w:shd w:val="clear" w:color="auto" w:fill="1F3864" w:themeFill="accent1" w:themeFillShade="80"/>
            <w:tcMar>
              <w:top w:w="100" w:type="dxa"/>
              <w:left w:w="130" w:type="dxa"/>
              <w:bottom w:w="100" w:type="dxa"/>
              <w:right w:w="130" w:type="dxa"/>
            </w:tcMar>
            <w:vAlign w:val="center"/>
          </w:tcPr>
          <w:p w14:paraId="780B4345" w14:textId="77777777" w:rsidR="0084453D" w:rsidRDefault="00E30BAC">
            <w:pPr>
              <w:jc w:val="center"/>
            </w:pPr>
            <w:r>
              <w:rPr>
                <w:b/>
                <w:bCs/>
                <w:color w:val="FFFFFF"/>
                <w:sz w:val="15"/>
                <w:szCs w:val="15"/>
              </w:rPr>
              <w:t>Dimension</w:t>
            </w:r>
          </w:p>
        </w:tc>
        <w:tc>
          <w:tcPr>
            <w:tcW w:w="500" w:type="dxa"/>
            <w:tcBorders>
              <w:top w:val="single" w:sz="4" w:space="0" w:color="1F3864" w:themeColor="accent1" w:themeShade="80"/>
              <w:left w:val="single" w:sz="1" w:space="0" w:color="CCCCCC"/>
              <w:bottom w:val="single" w:sz="4" w:space="0" w:color="1F3864" w:themeColor="accent1" w:themeShade="80"/>
              <w:right w:val="single" w:sz="1" w:space="0" w:color="CCCCCC"/>
            </w:tcBorders>
            <w:shd w:val="clear" w:color="auto" w:fill="1F3864" w:themeFill="accent1" w:themeFillShade="80"/>
            <w:tcMar>
              <w:top w:w="100" w:type="dxa"/>
              <w:left w:w="130" w:type="dxa"/>
              <w:bottom w:w="100" w:type="dxa"/>
              <w:right w:w="130" w:type="dxa"/>
            </w:tcMar>
            <w:vAlign w:val="center"/>
          </w:tcPr>
          <w:p w14:paraId="657C3913" w14:textId="77777777" w:rsidR="0084453D" w:rsidRDefault="00E30BAC">
            <w:pPr>
              <w:jc w:val="center"/>
            </w:pPr>
            <w:r>
              <w:rPr>
                <w:b/>
                <w:bCs/>
                <w:color w:val="FFFFFF"/>
                <w:sz w:val="15"/>
                <w:szCs w:val="15"/>
              </w:rPr>
              <w:t>Score</w:t>
            </w:r>
          </w:p>
        </w:tc>
        <w:tc>
          <w:tcPr>
            <w:tcW w:w="1200" w:type="dxa"/>
            <w:tcBorders>
              <w:top w:val="single" w:sz="4" w:space="0" w:color="1F3864" w:themeColor="accent1" w:themeShade="80"/>
              <w:left w:val="single" w:sz="1" w:space="0" w:color="CCCCCC"/>
              <w:bottom w:val="single" w:sz="4" w:space="0" w:color="1F3864" w:themeColor="accent1" w:themeShade="80"/>
              <w:right w:val="single" w:sz="1" w:space="0" w:color="CCCCCC"/>
            </w:tcBorders>
            <w:shd w:val="clear" w:color="auto" w:fill="1F3864" w:themeFill="accent1" w:themeFillShade="80"/>
            <w:tcMar>
              <w:top w:w="100" w:type="dxa"/>
              <w:left w:w="130" w:type="dxa"/>
              <w:bottom w:w="100" w:type="dxa"/>
              <w:right w:w="130" w:type="dxa"/>
            </w:tcMar>
            <w:vAlign w:val="center"/>
          </w:tcPr>
          <w:p w14:paraId="0CFFFD6B" w14:textId="77777777" w:rsidR="0084453D" w:rsidRDefault="00E30BAC">
            <w:pPr>
              <w:jc w:val="center"/>
            </w:pPr>
            <w:r>
              <w:rPr>
                <w:b/>
                <w:bCs/>
                <w:color w:val="FFFFFF"/>
                <w:sz w:val="15"/>
                <w:szCs w:val="15"/>
              </w:rPr>
              <w:t>Level</w:t>
            </w:r>
          </w:p>
        </w:tc>
        <w:tc>
          <w:tcPr>
            <w:tcW w:w="3800" w:type="dxa"/>
            <w:tcBorders>
              <w:top w:val="single" w:sz="4" w:space="0" w:color="1F3864" w:themeColor="accent1" w:themeShade="80"/>
              <w:left w:val="single" w:sz="1" w:space="0" w:color="CCCCCC"/>
              <w:bottom w:val="single" w:sz="4" w:space="0" w:color="1F3864" w:themeColor="accent1" w:themeShade="80"/>
              <w:right w:val="single" w:sz="1" w:space="0" w:color="CCCCCC"/>
            </w:tcBorders>
            <w:shd w:val="clear" w:color="auto" w:fill="1F3864" w:themeFill="accent1" w:themeFillShade="80"/>
            <w:tcMar>
              <w:top w:w="100" w:type="dxa"/>
              <w:left w:w="130" w:type="dxa"/>
              <w:bottom w:w="100" w:type="dxa"/>
              <w:right w:w="130" w:type="dxa"/>
            </w:tcMar>
            <w:vAlign w:val="center"/>
          </w:tcPr>
          <w:p w14:paraId="40206BBB" w14:textId="77777777" w:rsidR="0084453D" w:rsidRDefault="00E30BAC">
            <w:pPr>
              <w:jc w:val="center"/>
            </w:pPr>
            <w:r>
              <w:rPr>
                <w:b/>
                <w:bCs/>
                <w:color w:val="FFFFFF"/>
                <w:sz w:val="15"/>
                <w:szCs w:val="15"/>
              </w:rPr>
              <w:t>Scoring Criteria</w:t>
            </w:r>
          </w:p>
        </w:tc>
        <w:tc>
          <w:tcPr>
            <w:tcW w:w="2780" w:type="dxa"/>
            <w:tcBorders>
              <w:top w:val="single" w:sz="4" w:space="0" w:color="1F3864" w:themeColor="accent1" w:themeShade="80"/>
              <w:left w:val="single" w:sz="1" w:space="0" w:color="CCCCCC"/>
              <w:bottom w:val="single" w:sz="4" w:space="0" w:color="1F3864" w:themeColor="accent1" w:themeShade="80"/>
              <w:right w:val="single" w:sz="1" w:space="0" w:color="CCCCCC"/>
            </w:tcBorders>
            <w:shd w:val="clear" w:color="auto" w:fill="1F3864" w:themeFill="accent1" w:themeFillShade="80"/>
            <w:tcMar>
              <w:top w:w="100" w:type="dxa"/>
              <w:left w:w="130" w:type="dxa"/>
              <w:bottom w:w="100" w:type="dxa"/>
              <w:right w:w="130" w:type="dxa"/>
            </w:tcMar>
            <w:vAlign w:val="center"/>
          </w:tcPr>
          <w:p w14:paraId="37A0B591" w14:textId="77777777" w:rsidR="0084453D" w:rsidRDefault="00E30BAC">
            <w:pPr>
              <w:jc w:val="center"/>
            </w:pPr>
            <w:r>
              <w:rPr>
                <w:b/>
                <w:bCs/>
                <w:color w:val="FFFFFF"/>
                <w:sz w:val="15"/>
                <w:szCs w:val="15"/>
              </w:rPr>
              <w:t>Next Step</w:t>
            </w:r>
          </w:p>
        </w:tc>
      </w:tr>
      <w:tr w:rsidR="0084453D" w14:paraId="03738410" w14:textId="77777777" w:rsidTr="7A91EA22">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29B4EA11" w14:textId="77777777" w:rsidR="0084453D" w:rsidRDefault="00E30BAC">
            <w:pPr>
              <w:spacing w:before="20" w:after="20"/>
              <w:jc w:val="center"/>
            </w:pPr>
            <w:r>
              <w:rPr>
                <w:b/>
                <w:bCs/>
                <w:color w:val="1A1A1A"/>
                <w:sz w:val="17"/>
                <w:szCs w:val="17"/>
              </w:rPr>
              <w:t>6</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C5C7718" w14:textId="77777777" w:rsidR="0084453D" w:rsidRDefault="00E30BAC">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B584315" w14:textId="77777777" w:rsidR="0084453D" w:rsidRDefault="00E30BAC">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29694CB0" w14:textId="77777777" w:rsidR="0084453D" w:rsidRDefault="00E30BAC">
            <w:pPr>
              <w:spacing w:before="20" w:after="20"/>
            </w:pPr>
            <w:r>
              <w:rPr>
                <w:i/>
                <w:iCs/>
                <w:color w:val="1A1A1A"/>
                <w:sz w:val="17"/>
                <w:szCs w:val="17"/>
              </w:rPr>
              <w:t>No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D656268" w14:textId="77777777" w:rsidR="0084453D" w:rsidRDefault="00E30BAC">
            <w:pPr>
              <w:spacing w:before="20" w:after="20"/>
            </w:pPr>
            <w:r>
              <w:rPr>
                <w:color w:val="1A1A1A"/>
                <w:sz w:val="18"/>
                <w:szCs w:val="18"/>
              </w:rPr>
              <w:t>Q2.3 is entirely blank — no risks or opportunities identified for either direct operations or value chain. Q2.4’s ‘if no action’ column is also blank for all rows (no plans, no expected dates, no alternative measures). The company demonstrates no recognition of workforce risks or opportunities as relevant to its business.</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A7E2E22" w14:textId="77777777" w:rsidR="0084453D" w:rsidRDefault="00E30BAC">
            <w:pPr>
              <w:spacing w:before="20" w:after="20"/>
            </w:pPr>
            <w:r>
              <w:rPr>
                <w:i/>
                <w:iCs/>
                <w:color w:val="1A1A1A"/>
                <w:sz w:val="17"/>
                <w:szCs w:val="17"/>
              </w:rPr>
              <w:t>Identify at least one workforce risk or opportunity relevant to the company’s direct operations in Q2.3 by selecting a category from the dropdown and providing a brief description of why it is relevant.</w:t>
            </w:r>
          </w:p>
        </w:tc>
      </w:tr>
      <w:tr w:rsidR="0084453D" w14:paraId="28255DC8" w14:textId="77777777" w:rsidTr="7A91EA22">
        <w:tc>
          <w:tcPr>
            <w:tcW w:w="6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1B87E3DE" w14:textId="77777777" w:rsidR="0084453D" w:rsidRDefault="00E30BAC">
            <w:pPr>
              <w:spacing w:before="20" w:after="20"/>
              <w:jc w:val="center"/>
            </w:pPr>
            <w:r>
              <w:rPr>
                <w:b/>
                <w:bCs/>
                <w:color w:val="1A1A1A"/>
                <w:sz w:val="17"/>
                <w:szCs w:val="17"/>
              </w:rPr>
              <w:t>6</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277EFA5F" w14:textId="77777777" w:rsidR="0084453D" w:rsidRDefault="00E30BAC">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649841BE" w14:textId="77777777" w:rsidR="0084453D" w:rsidRDefault="00E30BAC">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1D1ACE9D" w14:textId="77777777" w:rsidR="0084453D" w:rsidRDefault="00E30BAC">
            <w:pPr>
              <w:spacing w:before="20" w:after="20"/>
            </w:pPr>
            <w:r>
              <w:rPr>
                <w:i/>
                <w:iCs/>
                <w:color w:val="1A1A1A"/>
                <w:sz w:val="17"/>
                <w:szCs w:val="17"/>
              </w:rPr>
              <w:t>Minimal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tcPr>
          <w:p w14:paraId="20530C59" w14:textId="77777777" w:rsidR="0084453D" w:rsidRDefault="00E30BAC">
            <w:pPr>
              <w:spacing w:before="20" w:after="20"/>
            </w:pPr>
            <w:r>
              <w:rPr>
                <w:color w:val="1A1A1A"/>
                <w:sz w:val="18"/>
                <w:szCs w:val="18"/>
              </w:rPr>
              <w:t>OR logic. Q2.3 has at least one entry (risk or opportunity) for at least one scope, but descriptions are generic (e.g., “Health and safety is a risk in our operations”) without naming specific affected worker groups, business lines, geographic locations, or supply chain tiers. OR: Q2.4’s ‘if no action’ column has entries for rows where no action was taken, but these are vague (e.g., “we plan to address this in the future”) without specifying an expected date or describing any alternative measures. Coverage addresses only direct operations; value chain is entirely blank.</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tcPr>
          <w:p w14:paraId="07023A1E" w14:textId="77777777" w:rsidR="0084453D" w:rsidRDefault="00E30BAC">
            <w:pPr>
              <w:spacing w:before="20" w:after="20"/>
            </w:pPr>
            <w:r>
              <w:rPr>
                <w:i/>
                <w:iCs/>
                <w:color w:val="1A1A1A"/>
                <w:sz w:val="17"/>
                <w:szCs w:val="17"/>
              </w:rPr>
              <w:t>Add specificity to Q2.3 descriptions: name which worker groups, business lines, or geographies are affected and why this risk/opportunity is material to this company specifically. In Q2.4’s ‘if no action’ column, include an expected date for action and describe any alternative measures currently in place.</w:t>
            </w:r>
          </w:p>
        </w:tc>
      </w:tr>
      <w:tr w:rsidR="0084453D" w14:paraId="2D91D33B" w14:textId="77777777" w:rsidTr="7A91EA22">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1946A7AE" w14:textId="77777777" w:rsidR="0084453D" w:rsidRDefault="00E30BAC">
            <w:pPr>
              <w:spacing w:before="20" w:after="20"/>
              <w:jc w:val="center"/>
            </w:pPr>
            <w:r>
              <w:rPr>
                <w:b/>
                <w:bCs/>
                <w:color w:val="1A1A1A"/>
                <w:sz w:val="17"/>
                <w:szCs w:val="17"/>
              </w:rPr>
              <w:t>6</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2A88A0A8" w14:textId="77777777" w:rsidR="0084453D" w:rsidRDefault="00E30BAC">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FCD5EC4" w14:textId="77777777" w:rsidR="0084453D" w:rsidRDefault="00E30BAC">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ABDA75E" w14:textId="77777777" w:rsidR="0084453D" w:rsidRDefault="00E30BAC">
            <w:pPr>
              <w:spacing w:before="20" w:after="20"/>
            </w:pPr>
            <w:r>
              <w:rPr>
                <w:i/>
                <w:iCs/>
                <w:color w:val="1A1A1A"/>
                <w:sz w:val="17"/>
                <w:szCs w:val="17"/>
              </w:rPr>
              <w:t>Adequate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CCB8ECF" w14:textId="77777777" w:rsidR="0084453D" w:rsidRDefault="75A5501F">
            <w:pPr>
              <w:spacing w:before="20" w:after="20"/>
            </w:pPr>
            <w:r w:rsidRPr="75A5501F">
              <w:rPr>
                <w:color w:val="1A1A1A"/>
                <w:sz w:val="18"/>
                <w:szCs w:val="18"/>
              </w:rPr>
              <w:t>OR logic. Q2.3 addresses at least one scope with substantive, specific descriptions: named business functions, affected worker populations or supply chain segments, and a clear articulation of why the risk or opportunity is material. At least 2 meaningfully distinct categories identified. OR: Q2.4’s ‘if no action’ column provides, for rows where no action has been taken, a clear plan including either an expected date for action OR a description of alternative measures currently in place. A company that has taken no action on any identified risk/opportunity can reach this level if Q2.4’s ‘if no action’ column demonstrates clear, substantive forward intent with dates and alternative measures across the identified items.</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7A9C3A6" w14:textId="77777777" w:rsidR="0084453D" w:rsidRDefault="00E30BAC">
            <w:pPr>
              <w:spacing w:before="20" w:after="20"/>
            </w:pPr>
            <w:r>
              <w:rPr>
                <w:i/>
                <w:iCs/>
                <w:color w:val="1A1A1A"/>
                <w:sz w:val="17"/>
                <w:szCs w:val="17"/>
              </w:rPr>
              <w:t>Extend specificity to value chain risks and opportunities in Q2.3. Ensure Q2.4’s ‘if no action’ rows include BOTH an expected date AND a description of alternative measures, not just one or the other.</w:t>
            </w:r>
          </w:p>
        </w:tc>
      </w:tr>
      <w:tr w:rsidR="0084453D" w14:paraId="703A3861" w14:textId="77777777" w:rsidTr="7A91EA22">
        <w:tc>
          <w:tcPr>
            <w:tcW w:w="6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6DDB914C" w14:textId="77777777" w:rsidR="0084453D" w:rsidRDefault="00E30BAC">
            <w:pPr>
              <w:spacing w:before="20" w:after="20"/>
              <w:jc w:val="center"/>
            </w:pPr>
            <w:r>
              <w:rPr>
                <w:b/>
                <w:bCs/>
                <w:color w:val="1A1A1A"/>
                <w:sz w:val="17"/>
                <w:szCs w:val="17"/>
              </w:rPr>
              <w:t>6</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4EC1074F" w14:textId="77777777" w:rsidR="0084453D" w:rsidRDefault="00E30BAC">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78941E47" w14:textId="77777777" w:rsidR="0084453D" w:rsidRDefault="00E30BAC">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1F7E2F96" w14:textId="77777777" w:rsidR="0084453D" w:rsidRDefault="00E30BAC">
            <w:pPr>
              <w:spacing w:before="20" w:after="20"/>
            </w:pPr>
            <w:r>
              <w:rPr>
                <w:i/>
                <w:iCs/>
                <w:color w:val="1A1A1A"/>
                <w:sz w:val="17"/>
                <w:szCs w:val="17"/>
              </w:rPr>
              <w:t>Leading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tcPr>
          <w:p w14:paraId="432E2F91" w14:textId="77777777" w:rsidR="0084453D" w:rsidRDefault="00E30BAC">
            <w:pPr>
              <w:spacing w:before="20" w:after="20"/>
            </w:pPr>
            <w:r>
              <w:rPr>
                <w:color w:val="1A1A1A"/>
                <w:sz w:val="18"/>
                <w:szCs w:val="18"/>
              </w:rPr>
              <w:t xml:space="preserve">AND logic. Q2.3 addresses BOTH direct operations AND value chain with specific, substantive descriptions: named affected worker populations, business lines, geographies, or supply chain tiers; risks and opportunities spanning meaningfully diverse categories; descriptions explaining WHY each topic is material to this company specifically. Additionally, for any rows in Q2.4 where no action has been taken, the ‘if no action’ column provides clear plans with expected dates AND a description of alternative measures currently in place. A company cannot reach this level based solely on Q2.4 </w:t>
            </w:r>
            <w:r>
              <w:rPr>
                <w:color w:val="1A1A1A"/>
                <w:sz w:val="18"/>
                <w:szCs w:val="18"/>
              </w:rPr>
              <w:lastRenderedPageBreak/>
              <w:t>plans without substantive Q2.3 entries covering both scopes.</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tcPr>
          <w:p w14:paraId="34F49121" w14:textId="77777777" w:rsidR="0084453D" w:rsidRDefault="00E30BAC">
            <w:pPr>
              <w:spacing w:before="20" w:after="20"/>
            </w:pPr>
            <w:r>
              <w:rPr>
                <w:i/>
                <w:iCs/>
                <w:color w:val="1A1A1A"/>
                <w:sz w:val="17"/>
                <w:szCs w:val="17"/>
              </w:rPr>
              <w:lastRenderedPageBreak/>
              <w:t>Highest level achieved. Maintain regular review of identified risks and opportunities as the business and external environment evolve.</w:t>
            </w:r>
          </w:p>
        </w:tc>
      </w:tr>
      <w:tr w:rsidR="0084453D" w14:paraId="46950EC1" w14:textId="77777777" w:rsidTr="7A91EA22">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D9A48CF" w14:textId="77777777" w:rsidR="0084453D" w:rsidRDefault="00E30BAC">
            <w:pPr>
              <w:spacing w:before="20" w:after="20"/>
              <w:jc w:val="center"/>
            </w:pPr>
            <w:r>
              <w:rPr>
                <w:b/>
                <w:bCs/>
                <w:color w:val="1A1A1A"/>
                <w:sz w:val="17"/>
                <w:szCs w:val="17"/>
              </w:rPr>
              <w:t>6</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27D86DA7" w14:textId="77777777" w:rsidR="0084453D" w:rsidRDefault="00E30BAC">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2322F001" w14:textId="77777777" w:rsidR="0084453D" w:rsidRDefault="00E30BAC">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B50685D" w14:textId="77777777" w:rsidR="0084453D" w:rsidRDefault="00E30BAC">
            <w:pPr>
              <w:spacing w:before="20" w:after="20"/>
            </w:pPr>
            <w:r>
              <w:rPr>
                <w:i/>
                <w:iCs/>
                <w:color w:val="1A1A1A"/>
                <w:sz w:val="17"/>
                <w:szCs w:val="17"/>
              </w:rPr>
              <w:t>No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68C6FF0" w14:textId="77777777" w:rsidR="0084453D" w:rsidRDefault="00E30BAC">
            <w:pPr>
              <w:spacing w:before="20" w:after="20"/>
            </w:pPr>
            <w:r>
              <w:rPr>
                <w:color w:val="1A1A1A"/>
                <w:sz w:val="18"/>
                <w:szCs w:val="18"/>
              </w:rPr>
              <w:t>Q2.2 is blank for both scopes (no approach types selected, no process described, no coverage or frequency indicated). Q2.4’s stakeholder consultation column is blank for all rows. No assessment process or consultation is described anywhere.</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8A349A4" w14:textId="77777777" w:rsidR="0084453D" w:rsidRDefault="00E30BAC">
            <w:pPr>
              <w:spacing w:before="20" w:after="20"/>
            </w:pPr>
            <w:r>
              <w:rPr>
                <w:i/>
                <w:iCs/>
                <w:color w:val="1A1A1A"/>
                <w:sz w:val="17"/>
                <w:szCs w:val="17"/>
              </w:rPr>
              <w:t>Complete Q2.2 for at least one scope (direct operations): select the approach types used, provide a brief process description, indicate which worker categories are covered, and state the frequency.</w:t>
            </w:r>
          </w:p>
        </w:tc>
      </w:tr>
      <w:tr w:rsidR="0084453D" w14:paraId="70A04EB9" w14:textId="77777777" w:rsidTr="7A91EA22">
        <w:tc>
          <w:tcPr>
            <w:tcW w:w="6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1AA1B773" w14:textId="77777777" w:rsidR="0084453D" w:rsidRDefault="00E30BAC">
            <w:pPr>
              <w:spacing w:before="20" w:after="20"/>
              <w:jc w:val="center"/>
            </w:pPr>
            <w:r>
              <w:rPr>
                <w:b/>
                <w:bCs/>
                <w:color w:val="1A1A1A"/>
                <w:sz w:val="17"/>
                <w:szCs w:val="17"/>
              </w:rPr>
              <w:t>6</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1FA9E233" w14:textId="77777777" w:rsidR="0084453D" w:rsidRDefault="00E30BAC">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56B20A0C" w14:textId="77777777" w:rsidR="0084453D" w:rsidRDefault="00E30BAC">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564A5002" w14:textId="77777777" w:rsidR="0084453D" w:rsidRDefault="00E30BAC">
            <w:pPr>
              <w:spacing w:before="20" w:after="20"/>
            </w:pPr>
            <w:r>
              <w:rPr>
                <w:i/>
                <w:iCs/>
                <w:color w:val="1A1A1A"/>
                <w:sz w:val="17"/>
                <w:szCs w:val="17"/>
              </w:rPr>
              <w:t>Minimal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tcPr>
          <w:p w14:paraId="066FF157" w14:textId="77777777" w:rsidR="0084453D" w:rsidRDefault="00E30BAC">
            <w:pPr>
              <w:spacing w:before="20" w:after="20"/>
            </w:pPr>
            <w:r>
              <w:rPr>
                <w:color w:val="1A1A1A"/>
                <w:sz w:val="18"/>
                <w:szCs w:val="18"/>
              </w:rPr>
              <w:t>OR logic. Q2.2 selects 1–2 approach types (typically desk-based research or external reports — the least resource-intensive options) with a minimal process description. Only one scope (direct operations or value chain) may be addressed. Frequency is ad hoc. Q2.4 stakeholder consultation column is blank or selects only ‘Workers’ without description. No HRDD integration or worker/union consultation as an approach type is demonstrated.</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tcPr>
          <w:p w14:paraId="2F526D26" w14:textId="77777777" w:rsidR="0084453D" w:rsidRDefault="00E30BAC">
            <w:pPr>
              <w:spacing w:before="20" w:after="20"/>
            </w:pPr>
            <w:r>
              <w:rPr>
                <w:i/>
                <w:iCs/>
                <w:color w:val="1A1A1A"/>
                <w:sz w:val="17"/>
                <w:szCs w:val="17"/>
              </w:rPr>
              <w:t>Add worker/union consultation and/or HRDD integration as approach types in Q2.2. Describe the process in more detail: who is involved internally and externally, how data is collected, and how results are communicated. Address both direct operations and value chain scopes. Increase frequency from ad hoc to at least annual.</w:t>
            </w:r>
          </w:p>
        </w:tc>
      </w:tr>
      <w:tr w:rsidR="0084453D" w14:paraId="4D7F5D88" w14:textId="77777777" w:rsidTr="7A91EA22">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1D3DECFD" w14:textId="77777777" w:rsidR="0084453D" w:rsidRDefault="00E30BAC">
            <w:pPr>
              <w:spacing w:before="20" w:after="20"/>
              <w:jc w:val="center"/>
            </w:pPr>
            <w:r>
              <w:rPr>
                <w:b/>
                <w:bCs/>
                <w:color w:val="1A1A1A"/>
                <w:sz w:val="17"/>
                <w:szCs w:val="17"/>
              </w:rPr>
              <w:t>6</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4C05055" w14:textId="77777777" w:rsidR="0084453D" w:rsidRDefault="00E30BAC">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18F999B5" w14:textId="77777777" w:rsidR="0084453D" w:rsidRDefault="00E30BAC">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23467F2F" w14:textId="77777777" w:rsidR="0084453D" w:rsidRDefault="00E30BAC">
            <w:pPr>
              <w:spacing w:before="20" w:after="20"/>
            </w:pPr>
            <w:r>
              <w:rPr>
                <w:i/>
                <w:iCs/>
                <w:color w:val="1A1A1A"/>
                <w:sz w:val="17"/>
                <w:szCs w:val="17"/>
              </w:rPr>
              <w:t>Basic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5C2F3FF" w14:textId="399D86BB" w:rsidR="0084453D" w:rsidRDefault="236DBCB3">
            <w:pPr>
              <w:spacing w:before="20" w:after="20"/>
            </w:pPr>
            <w:r w:rsidRPr="7A91EA22">
              <w:rPr>
                <w:color w:val="1A1A1A"/>
                <w:sz w:val="18"/>
                <w:szCs w:val="18"/>
              </w:rPr>
              <w:t xml:space="preserve">OR logic. Q2.2 selects </w:t>
            </w:r>
            <w:r w:rsidR="1DEDAE05" w:rsidRPr="7A91EA22">
              <w:rPr>
                <w:color w:val="1A1A1A"/>
                <w:sz w:val="18"/>
                <w:szCs w:val="18"/>
              </w:rPr>
              <w:t>1</w:t>
            </w:r>
            <w:r w:rsidRPr="7A91EA22">
              <w:rPr>
                <w:color w:val="1A1A1A"/>
                <w:sz w:val="18"/>
                <w:szCs w:val="18"/>
              </w:rPr>
              <w:t>–</w:t>
            </w:r>
            <w:r w:rsidR="007BC238" w:rsidRPr="7A91EA22">
              <w:rPr>
                <w:color w:val="1A1A1A"/>
                <w:sz w:val="18"/>
                <w:szCs w:val="18"/>
              </w:rPr>
              <w:t>2</w:t>
            </w:r>
            <w:r w:rsidRPr="7A91EA22">
              <w:rPr>
                <w:color w:val="1A1A1A"/>
                <w:sz w:val="18"/>
                <w:szCs w:val="18"/>
              </w:rPr>
              <w:t xml:space="preserve"> approach types for at least one scope, with a moderate process description explaining how data is collected and results reported, but HRDD integration or worker/union consultation as a formal approach may be absent. Only one scope may be addressed, or both scopes addressed but with significantly less detail for value chain. Frequency is at least annual. Q2.4 stakeholder consultation selects at least one stakeholder type for some actions.</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108B76A2" w14:textId="77777777" w:rsidR="0084453D" w:rsidRDefault="00E30BAC">
            <w:pPr>
              <w:spacing w:before="20" w:after="20"/>
            </w:pPr>
            <w:r>
              <w:rPr>
                <w:i/>
                <w:iCs/>
                <w:color w:val="1A1A1A"/>
                <w:sz w:val="17"/>
                <w:szCs w:val="17"/>
              </w:rPr>
              <w:t>Integrate HRDD into the risk/opportunity assessment process (Q2.2 approach dropdown). Address both scopes with comparable process depth. In Q2.4, broaden stakeholder consultation to include trade unions or worker representative bodies where applicable.</w:t>
            </w:r>
          </w:p>
        </w:tc>
      </w:tr>
      <w:tr w:rsidR="0084453D" w14:paraId="278AD448" w14:textId="77777777" w:rsidTr="7A91EA22">
        <w:tc>
          <w:tcPr>
            <w:tcW w:w="6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3CBA1243" w14:textId="77777777" w:rsidR="0084453D" w:rsidRDefault="00E30BAC">
            <w:pPr>
              <w:spacing w:before="20" w:after="20"/>
              <w:jc w:val="center"/>
            </w:pPr>
            <w:r>
              <w:rPr>
                <w:b/>
                <w:bCs/>
                <w:color w:val="1A1A1A"/>
                <w:sz w:val="17"/>
                <w:szCs w:val="17"/>
              </w:rPr>
              <w:t>6</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03B9460B" w14:textId="77777777" w:rsidR="0084453D" w:rsidRDefault="00E30BAC">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0B778152" w14:textId="77777777" w:rsidR="0084453D" w:rsidRDefault="00E30BAC">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2773B13D" w14:textId="77777777" w:rsidR="0084453D" w:rsidRDefault="00E30BAC">
            <w:pPr>
              <w:spacing w:before="20" w:after="20"/>
            </w:pPr>
            <w:r>
              <w:rPr>
                <w:i/>
                <w:iCs/>
                <w:color w:val="1A1A1A"/>
                <w:sz w:val="17"/>
                <w:szCs w:val="17"/>
              </w:rPr>
              <w:t>Adequate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tcPr>
          <w:p w14:paraId="049AF02C" w14:textId="4F7467DF" w:rsidR="0084453D" w:rsidRDefault="236DBCB3">
            <w:pPr>
              <w:spacing w:before="20" w:after="20"/>
            </w:pPr>
            <w:r w:rsidRPr="7A91EA22">
              <w:rPr>
                <w:color w:val="1A1A1A"/>
                <w:sz w:val="18"/>
                <w:szCs w:val="18"/>
              </w:rPr>
              <w:t xml:space="preserve">OR logic. Q2.2 addresses BOTH scopes with a substantive process description: at least </w:t>
            </w:r>
            <w:r w:rsidR="2199B75C" w:rsidRPr="7A91EA22">
              <w:rPr>
                <w:color w:val="1A1A1A"/>
                <w:sz w:val="18"/>
                <w:szCs w:val="18"/>
              </w:rPr>
              <w:t>1</w:t>
            </w:r>
            <w:r w:rsidRPr="7A91EA22">
              <w:rPr>
                <w:color w:val="1A1A1A"/>
                <w:sz w:val="18"/>
                <w:szCs w:val="18"/>
              </w:rPr>
              <w:t>–</w:t>
            </w:r>
            <w:r w:rsidR="34202E7A" w:rsidRPr="7A91EA22">
              <w:rPr>
                <w:color w:val="1A1A1A"/>
                <w:sz w:val="18"/>
                <w:szCs w:val="18"/>
              </w:rPr>
              <w:t xml:space="preserve">2 </w:t>
            </w:r>
            <w:r w:rsidRPr="7A91EA22">
              <w:rPr>
                <w:color w:val="1A1A1A"/>
                <w:sz w:val="18"/>
                <w:szCs w:val="18"/>
              </w:rPr>
              <w:t>approach types selected including HRDD integration OR worker/union consultation (the more substantive options); a described process covering who is involved, data collection systems, and how results are reported; most contract type categories covered; and at least annual frequency for direct operations. Q2.4 stakeholder consultation selects multiple stakeholder types for the relevant actions. Strong Q2.2 alone can reach this level even if Q2.4 consultation is thin.</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tcPr>
          <w:p w14:paraId="5B11452E" w14:textId="77777777" w:rsidR="0084453D" w:rsidRDefault="00E30BAC">
            <w:pPr>
              <w:spacing w:before="20" w:after="20"/>
            </w:pPr>
            <w:r>
              <w:rPr>
                <w:i/>
                <w:iCs/>
                <w:color w:val="1A1A1A"/>
                <w:sz w:val="17"/>
                <w:szCs w:val="17"/>
              </w:rPr>
              <w:t xml:space="preserve">For score 5 (AND): ensure both Q2.2 and Q2.4 stakeholder consultation are both strong. In Q2.2, select the full breadth of relevant approach types including both HRDD integration AND worker consultation, address both scopes with continuous or frequent assessment, and describe scope/limitations/planned improvements. In Q2.4, ensure trade unions and/or </w:t>
            </w:r>
            <w:proofErr w:type="spellStart"/>
            <w:r>
              <w:rPr>
                <w:i/>
                <w:iCs/>
                <w:color w:val="1A1A1A"/>
                <w:sz w:val="17"/>
                <w:szCs w:val="17"/>
              </w:rPr>
              <w:t>labour</w:t>
            </w:r>
            <w:proofErr w:type="spellEnd"/>
            <w:r>
              <w:rPr>
                <w:i/>
                <w:iCs/>
                <w:color w:val="1A1A1A"/>
                <w:sz w:val="17"/>
                <w:szCs w:val="17"/>
              </w:rPr>
              <w:t xml:space="preserve"> rights CSOs are consulted where applicable.</w:t>
            </w:r>
          </w:p>
        </w:tc>
      </w:tr>
      <w:tr w:rsidR="0084453D" w14:paraId="26087A13" w14:textId="77777777" w:rsidTr="7A91EA22">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8AED84D" w14:textId="77777777" w:rsidR="0084453D" w:rsidRDefault="00E30BAC">
            <w:pPr>
              <w:spacing w:before="20" w:after="20"/>
              <w:jc w:val="center"/>
            </w:pPr>
            <w:r>
              <w:rPr>
                <w:b/>
                <w:bCs/>
                <w:color w:val="1A1A1A"/>
                <w:sz w:val="17"/>
                <w:szCs w:val="17"/>
              </w:rPr>
              <w:t>6</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999CD79" w14:textId="77777777" w:rsidR="0084453D" w:rsidRDefault="00E30BAC">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4240AAE" w14:textId="77777777" w:rsidR="0084453D" w:rsidRDefault="00E30BAC">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89582DC" w14:textId="77777777" w:rsidR="0084453D" w:rsidRDefault="00E30BAC">
            <w:pPr>
              <w:spacing w:before="20" w:after="20"/>
            </w:pPr>
            <w:r>
              <w:rPr>
                <w:i/>
                <w:iCs/>
                <w:color w:val="1A1A1A"/>
                <w:sz w:val="17"/>
                <w:szCs w:val="17"/>
              </w:rPr>
              <w:t>Leading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1DE114AD" w14:textId="54C1F7E1" w:rsidR="0084453D" w:rsidRDefault="236DBCB3" w:rsidP="7A91EA22">
            <w:pPr>
              <w:spacing w:before="20" w:after="20" w:line="259" w:lineRule="auto"/>
            </w:pPr>
            <w:r w:rsidRPr="7A91EA22">
              <w:rPr>
                <w:color w:val="1A1A1A"/>
                <w:sz w:val="18"/>
                <w:szCs w:val="18"/>
              </w:rPr>
              <w:t xml:space="preserve">AND logic. BOTH sources must independently meet the leading standard. Q2.2 must: select </w:t>
            </w:r>
            <w:r w:rsidR="3A82AAE1" w:rsidRPr="7A91EA22">
              <w:rPr>
                <w:color w:val="1A1A1A"/>
                <w:sz w:val="18"/>
                <w:szCs w:val="18"/>
              </w:rPr>
              <w:t>at least 1-2</w:t>
            </w:r>
            <w:r w:rsidRPr="7A91EA22">
              <w:rPr>
                <w:color w:val="1A1A1A"/>
                <w:sz w:val="18"/>
                <w:szCs w:val="18"/>
              </w:rPr>
              <w:t xml:space="preserve"> relevant approach types for both scopes including HRDD integration AND worker/union consultation as formal approaches; provide a comprehensive process description for both direct operations and </w:t>
            </w:r>
            <w:r w:rsidRPr="7A91EA22">
              <w:rPr>
                <w:color w:val="1A1A1A"/>
                <w:sz w:val="18"/>
                <w:szCs w:val="18"/>
              </w:rPr>
              <w:lastRenderedPageBreak/>
              <w:t xml:space="preserve">value chain covering who is involved (internal and external), data collection systems, how results are reported and communicated, how the assessment feeds into wider enterprise risk processes, and scope/limitations/planned improvements; cover all or most worker categories; and assess at least annually for both scopes (with continuous/ongoing for direct operations preferred). Q2.4 must: show broad, multi-stakeholder consultation (Workers, Trade unions, and at least one other type such as </w:t>
            </w:r>
            <w:proofErr w:type="spellStart"/>
            <w:r w:rsidRPr="7A91EA22">
              <w:rPr>
                <w:color w:val="1A1A1A"/>
                <w:sz w:val="18"/>
                <w:szCs w:val="18"/>
              </w:rPr>
              <w:t>Labour</w:t>
            </w:r>
            <w:proofErr w:type="spellEnd"/>
            <w:r w:rsidRPr="7A91EA22">
              <w:rPr>
                <w:color w:val="1A1A1A"/>
                <w:sz w:val="18"/>
                <w:szCs w:val="18"/>
              </w:rPr>
              <w:t xml:space="preserve"> rights CSOs) for the relevant actions. A company with excellent Q2.2 but no stakeholder consultation in Q2.4 cannot reach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ADBBDF4" w14:textId="77777777" w:rsidR="0084453D" w:rsidRDefault="00E30BAC">
            <w:pPr>
              <w:spacing w:before="20" w:after="20"/>
            </w:pPr>
            <w:r>
              <w:rPr>
                <w:i/>
                <w:iCs/>
                <w:color w:val="1A1A1A"/>
                <w:sz w:val="17"/>
                <w:szCs w:val="17"/>
              </w:rPr>
              <w:lastRenderedPageBreak/>
              <w:t>Highest level achieved. Maintain comprehensive assessment processes for both scopes and continue broadening stakeholder consultation as the company’s risk landscape evolves.</w:t>
            </w:r>
          </w:p>
        </w:tc>
      </w:tr>
      <w:tr w:rsidR="0084453D" w14:paraId="09CFA7A8" w14:textId="77777777" w:rsidTr="7A91EA22">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9FF5382" w14:textId="77777777" w:rsidR="0084453D" w:rsidRDefault="00E30BAC">
            <w:pPr>
              <w:spacing w:before="20" w:after="20"/>
              <w:jc w:val="center"/>
            </w:pPr>
            <w:r>
              <w:rPr>
                <w:b/>
                <w:bCs/>
                <w:color w:val="1A1A1A"/>
                <w:sz w:val="17"/>
                <w:szCs w:val="17"/>
              </w:rPr>
              <w:t>6</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CE446E2" w14:textId="77777777" w:rsidR="0084453D" w:rsidRDefault="00E30BAC">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B7EFE02" w14:textId="77777777" w:rsidR="0084453D" w:rsidRDefault="00E30BAC">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049904B" w14:textId="77777777" w:rsidR="0084453D" w:rsidRDefault="00E30BAC">
            <w:pPr>
              <w:spacing w:before="20" w:after="20"/>
            </w:pPr>
            <w:r>
              <w:rPr>
                <w:i/>
                <w:iCs/>
                <w:color w:val="1A1A1A"/>
                <w:sz w:val="17"/>
                <w:szCs w:val="17"/>
              </w:rPr>
              <w:t>No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28A943D6" w14:textId="77777777" w:rsidR="0084453D" w:rsidRDefault="00E30BAC">
            <w:pPr>
              <w:spacing w:before="20" w:after="20"/>
            </w:pPr>
            <w:r>
              <w:rPr>
                <w:color w:val="1A1A1A"/>
                <w:sz w:val="18"/>
                <w:szCs w:val="18"/>
              </w:rPr>
              <w:t>Q2.4’s ‘action taken’ column is blank for all rows — no steps have been taken and no description appears anywhere. Where the ‘if no action’ column is completed instead (plans, expected dates, alternative measures), this contributes to Awareness, not Action. A company that has completed all ‘if no action’ cells but left all ‘action taken’ cells blank still scores 0 for Action.</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00A246F" w14:textId="77777777" w:rsidR="0084453D" w:rsidRDefault="75A5501F">
            <w:pPr>
              <w:spacing w:before="20" w:after="20"/>
            </w:pPr>
            <w:r w:rsidRPr="75A5501F">
              <w:rPr>
                <w:i/>
                <w:iCs/>
                <w:color w:val="1A1A1A"/>
                <w:sz w:val="17"/>
                <w:szCs w:val="17"/>
              </w:rPr>
              <w:t xml:space="preserve">For at least one risk or opportunity identified in Q2.3, describe a concrete step that has been or is being taken to manage the risk or </w:t>
            </w:r>
            <w:proofErr w:type="spellStart"/>
            <w:r w:rsidRPr="75A5501F">
              <w:rPr>
                <w:i/>
                <w:iCs/>
                <w:color w:val="1A1A1A"/>
                <w:sz w:val="17"/>
                <w:szCs w:val="17"/>
              </w:rPr>
              <w:t>capitalise</w:t>
            </w:r>
            <w:proofErr w:type="spellEnd"/>
            <w:r w:rsidRPr="75A5501F">
              <w:rPr>
                <w:i/>
                <w:iCs/>
                <w:color w:val="1A1A1A"/>
                <w:sz w:val="17"/>
                <w:szCs w:val="17"/>
              </w:rPr>
              <w:t xml:space="preserve"> on the opportunity, naming the part of the business involved and the workers affected.</w:t>
            </w:r>
          </w:p>
        </w:tc>
      </w:tr>
      <w:tr w:rsidR="0084453D" w14:paraId="06714EB8" w14:textId="77777777" w:rsidTr="7A91EA22">
        <w:tc>
          <w:tcPr>
            <w:tcW w:w="6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14EAB887" w14:textId="77777777" w:rsidR="0084453D" w:rsidRDefault="00E30BAC">
            <w:pPr>
              <w:spacing w:before="20" w:after="20"/>
              <w:jc w:val="center"/>
            </w:pPr>
            <w:r>
              <w:rPr>
                <w:b/>
                <w:bCs/>
                <w:color w:val="1A1A1A"/>
                <w:sz w:val="17"/>
                <w:szCs w:val="17"/>
              </w:rPr>
              <w:t>6</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2DEDCF4F" w14:textId="77777777" w:rsidR="0084453D" w:rsidRDefault="00E30BAC">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249FAAB8" w14:textId="77777777" w:rsidR="0084453D" w:rsidRDefault="00E30BAC">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1C4D92A4" w14:textId="77777777" w:rsidR="0084453D" w:rsidRDefault="00E30BAC">
            <w:pPr>
              <w:spacing w:before="20" w:after="20"/>
            </w:pPr>
            <w:r>
              <w:rPr>
                <w:i/>
                <w:iCs/>
                <w:color w:val="1A1A1A"/>
                <w:sz w:val="17"/>
                <w:szCs w:val="17"/>
              </w:rPr>
              <w:t>Minimal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tcPr>
          <w:p w14:paraId="320E14BD" w14:textId="77777777" w:rsidR="0084453D" w:rsidRDefault="75A5501F">
            <w:pPr>
              <w:spacing w:before="20" w:after="20"/>
            </w:pPr>
            <w:r w:rsidRPr="75A5501F">
              <w:rPr>
                <w:color w:val="1A1A1A"/>
                <w:sz w:val="18"/>
                <w:szCs w:val="18"/>
              </w:rPr>
              <w:t xml:space="preserve">OR logic. At least one Q2.4 ‘action taken’ row has a description of steps taken, but it is vague (e.g., “We have policies in place” or “We are monitoring this risk”) without naming the specific business area, affected worker group, or concrete step taken. The guidance requires the company to explain the ‘action taken in terms of steps that have been </w:t>
            </w:r>
            <w:proofErr w:type="gramStart"/>
            <w:r w:rsidRPr="75A5501F">
              <w:rPr>
                <w:color w:val="1A1A1A"/>
                <w:sz w:val="18"/>
                <w:szCs w:val="18"/>
              </w:rPr>
              <w:t>taken’ —</w:t>
            </w:r>
            <w:proofErr w:type="gramEnd"/>
            <w:r w:rsidRPr="75A5501F">
              <w:rPr>
                <w:color w:val="1A1A1A"/>
                <w:sz w:val="18"/>
                <w:szCs w:val="18"/>
              </w:rPr>
              <w:t xml:space="preserve"> a generic policy reference does not meet this standard. Actions address only direct operations; value chain action rows are blank or also vague.</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tcPr>
          <w:p w14:paraId="053DBF60" w14:textId="77777777" w:rsidR="0084453D" w:rsidRDefault="75A5501F">
            <w:pPr>
              <w:spacing w:before="20" w:after="20"/>
            </w:pPr>
            <w:r w:rsidRPr="75A5501F">
              <w:rPr>
                <w:i/>
                <w:iCs/>
                <w:color w:val="1A1A1A"/>
                <w:sz w:val="17"/>
                <w:szCs w:val="17"/>
              </w:rPr>
              <w:t xml:space="preserve">Strengthen the action description to explain the steps that have been </w:t>
            </w:r>
            <w:proofErr w:type="gramStart"/>
            <w:r w:rsidRPr="75A5501F">
              <w:rPr>
                <w:i/>
                <w:iCs/>
                <w:color w:val="1A1A1A"/>
                <w:sz w:val="17"/>
                <w:szCs w:val="17"/>
              </w:rPr>
              <w:t>taken:</w:t>
            </w:r>
            <w:proofErr w:type="gramEnd"/>
            <w:r w:rsidRPr="75A5501F">
              <w:rPr>
                <w:i/>
                <w:iCs/>
                <w:color w:val="1A1A1A"/>
                <w:sz w:val="17"/>
                <w:szCs w:val="17"/>
              </w:rPr>
              <w:t xml:space="preserve"> name the specific part of the business or value chain involved, which workers are affected, and what concrete step was executed — not just that a policy exists or monitoring is occurring.</w:t>
            </w:r>
          </w:p>
        </w:tc>
      </w:tr>
      <w:tr w:rsidR="0084453D" w14:paraId="684E589C" w14:textId="77777777" w:rsidTr="7A91EA22">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3004FEB" w14:textId="77777777" w:rsidR="0084453D" w:rsidRDefault="00E30BAC">
            <w:pPr>
              <w:spacing w:before="20" w:after="20"/>
              <w:jc w:val="center"/>
            </w:pPr>
            <w:r>
              <w:rPr>
                <w:b/>
                <w:bCs/>
                <w:color w:val="1A1A1A"/>
                <w:sz w:val="17"/>
                <w:szCs w:val="17"/>
              </w:rPr>
              <w:t>6</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60DA689" w14:textId="77777777" w:rsidR="0084453D" w:rsidRDefault="00E30BAC">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A036E3D" w14:textId="77777777" w:rsidR="0084453D" w:rsidRDefault="00E30BAC">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241656D2" w14:textId="77777777" w:rsidR="0084453D" w:rsidRDefault="00E30BAC">
            <w:pPr>
              <w:spacing w:before="20" w:after="20"/>
            </w:pPr>
            <w:r>
              <w:rPr>
                <w:i/>
                <w:iCs/>
                <w:color w:val="1A1A1A"/>
                <w:sz w:val="17"/>
                <w:szCs w:val="17"/>
              </w:rPr>
              <w:t>Adequate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7DE96E1" w14:textId="77777777" w:rsidR="0084453D" w:rsidRDefault="00E30BAC">
            <w:pPr>
              <w:spacing w:before="20" w:after="20"/>
            </w:pPr>
            <w:r>
              <w:rPr>
                <w:color w:val="1A1A1A"/>
                <w:sz w:val="18"/>
                <w:szCs w:val="18"/>
              </w:rPr>
              <w:t>OR logic. At least one Q2.4 ‘action taken’ row for direct operations contains a specific, substantive description of steps taken: the step is named (not just policy existence or monitoring), the business unit or function involved is identified, and the affected worker group or supply chain segment is described. The action clearly connects to the specific risk or opportunity it addresses from Q2.3. Additional rows may have thinner or absent action descriptions. Value chain action may be partially addressed or absent.</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06C78B6" w14:textId="77777777" w:rsidR="0084453D" w:rsidRDefault="00E30BAC">
            <w:pPr>
              <w:spacing w:before="20" w:after="20"/>
            </w:pPr>
            <w:r>
              <w:rPr>
                <w:i/>
                <w:iCs/>
                <w:color w:val="1A1A1A"/>
                <w:sz w:val="17"/>
                <w:szCs w:val="17"/>
              </w:rPr>
              <w:t>Expand substantive action descriptions to cover risks and opportunities in both direct operations AND value chain. For each action, describe not just what step was taken but how it manages the risk or adds value, and which part of the business or value chain is involved.</w:t>
            </w:r>
          </w:p>
        </w:tc>
      </w:tr>
      <w:tr w:rsidR="0084453D" w14:paraId="75DB3A60" w14:textId="77777777" w:rsidTr="7A91EA22">
        <w:tc>
          <w:tcPr>
            <w:tcW w:w="6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53A562C3" w14:textId="77777777" w:rsidR="0084453D" w:rsidRDefault="00E30BAC">
            <w:pPr>
              <w:spacing w:before="20" w:after="20"/>
              <w:jc w:val="center"/>
            </w:pPr>
            <w:r>
              <w:rPr>
                <w:b/>
                <w:bCs/>
                <w:color w:val="1A1A1A"/>
                <w:sz w:val="17"/>
                <w:szCs w:val="17"/>
              </w:rPr>
              <w:t>6</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5BFA48F0" w14:textId="77777777" w:rsidR="0084453D" w:rsidRDefault="00E30BAC">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76DB90EB" w14:textId="77777777" w:rsidR="0084453D" w:rsidRDefault="00E30BAC">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vAlign w:val="center"/>
          </w:tcPr>
          <w:p w14:paraId="1A041FF9" w14:textId="77777777" w:rsidR="0084453D" w:rsidRDefault="00E30BAC">
            <w:pPr>
              <w:spacing w:before="20" w:after="20"/>
            </w:pPr>
            <w:r>
              <w:rPr>
                <w:i/>
                <w:iCs/>
                <w:color w:val="1A1A1A"/>
                <w:sz w:val="17"/>
                <w:szCs w:val="17"/>
              </w:rPr>
              <w:t>Leading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tcPr>
          <w:p w14:paraId="5CC517EA" w14:textId="77777777" w:rsidR="0084453D" w:rsidRDefault="00E30BAC">
            <w:pPr>
              <w:spacing w:before="20" w:after="20"/>
            </w:pPr>
            <w:r>
              <w:rPr>
                <w:color w:val="1A1A1A"/>
                <w:sz w:val="18"/>
                <w:szCs w:val="18"/>
              </w:rPr>
              <w:t xml:space="preserve">AND logic. Substantive, specific descriptions of steps taken must be provided for risks/opportunities across BOTH direct operations AND value chain </w:t>
            </w:r>
            <w:r>
              <w:rPr>
                <w:color w:val="1A1A1A"/>
                <w:sz w:val="18"/>
                <w:szCs w:val="18"/>
              </w:rPr>
              <w:lastRenderedPageBreak/>
              <w:t>scopes. For each described action: the specific step taken is named; the part of the business, business unit, or supply chain tier involved is identified; the affected worker population is described; and the action clearly connects to the specific risk or opportunity from Q2.3, explaining how it manages the risk or adds value. It is not required that all 12 possible rows have this depth, but at least one action row in each scope (direct operations and value chain) must independently meet this standard.</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90" w:type="dxa"/>
              <w:left w:w="130" w:type="dxa"/>
              <w:bottom w:w="90" w:type="dxa"/>
              <w:right w:w="130" w:type="dxa"/>
            </w:tcMar>
          </w:tcPr>
          <w:p w14:paraId="7F52B61B" w14:textId="77777777" w:rsidR="0084453D" w:rsidRDefault="00E30BAC">
            <w:pPr>
              <w:spacing w:before="20" w:after="20"/>
            </w:pPr>
            <w:r>
              <w:rPr>
                <w:i/>
                <w:iCs/>
                <w:color w:val="1A1A1A"/>
                <w:sz w:val="17"/>
                <w:szCs w:val="17"/>
              </w:rPr>
              <w:lastRenderedPageBreak/>
              <w:t xml:space="preserve">Highest level achieved. Continue documenting actions as they develop and ensure value chain action evidence </w:t>
            </w:r>
            <w:r>
              <w:rPr>
                <w:i/>
                <w:iCs/>
                <w:color w:val="1A1A1A"/>
                <w:sz w:val="17"/>
                <w:szCs w:val="17"/>
              </w:rPr>
              <w:lastRenderedPageBreak/>
              <w:t>keeps pace with the scope of identified risks.</w:t>
            </w:r>
          </w:p>
        </w:tc>
      </w:tr>
    </w:tbl>
    <w:p w14:paraId="02EB378F" w14:textId="77777777" w:rsidR="0084453D" w:rsidRDefault="0084453D">
      <w:pPr>
        <w:pBdr>
          <w:bottom w:val="single" w:sz="4" w:space="1" w:color="D9D9D9"/>
        </w:pBdr>
        <w:spacing w:before="240" w:after="240"/>
      </w:pPr>
    </w:p>
    <w:p w14:paraId="0BD2FA26" w14:textId="77777777" w:rsidR="0084453D" w:rsidRDefault="00E30BAC">
      <w:pPr>
        <w:pStyle w:val="Heading1"/>
        <w:spacing w:before="360" w:after="160"/>
      </w:pPr>
      <w:r>
        <w:rPr>
          <w:b/>
          <w:bCs/>
          <w:color w:val="1F3864"/>
          <w:sz w:val="34"/>
          <w:szCs w:val="34"/>
        </w:rPr>
        <w:t>4. Score Calculation</w:t>
      </w:r>
    </w:p>
    <w:p w14:paraId="5BD429C5" w14:textId="77777777" w:rsidR="0084453D" w:rsidRDefault="00E30BAC">
      <w:pPr>
        <w:spacing w:before="80" w:after="80"/>
      </w:pPr>
      <w:r>
        <w:rPr>
          <w:color w:val="1A1A1A"/>
        </w:rPr>
        <w:t>Once Awareness, Approach, and Action sub-scores are assigned, the composite topic score is calculated using equal weighting across the three dimensions.</w:t>
      </w:r>
    </w:p>
    <w:p w14:paraId="65FFD978" w14:textId="77777777" w:rsidR="0084453D" w:rsidRDefault="00E30BAC">
      <w:pPr>
        <w:pStyle w:val="Heading2"/>
        <w:spacing w:before="280" w:after="120"/>
      </w:pPr>
      <w:proofErr w:type="gramStart"/>
      <w:r>
        <w:rPr>
          <w:b/>
          <w:bCs/>
          <w:color w:val="2E75B6"/>
        </w:rPr>
        <w:t>4.1  Formulas</w:t>
      </w:r>
      <w:proofErr w:type="gramEnd"/>
    </w:p>
    <w:p w14:paraId="63E110BB" w14:textId="77777777" w:rsidR="0084453D" w:rsidRDefault="00E30BAC">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Composite (0–5)   =</w:t>
      </w:r>
      <w:proofErr w:type="gramStart"/>
      <w:r>
        <w:rPr>
          <w:rFonts w:ascii="Courier New" w:eastAsia="Courier New" w:hAnsi="Courier New" w:cs="Courier New"/>
          <w:b/>
          <w:bCs/>
          <w:color w:val="1F3864"/>
        </w:rPr>
        <w:t xml:space="preserve">   (Awareness  +</w:t>
      </w:r>
      <w:proofErr w:type="gramEnd"/>
      <w:r>
        <w:rPr>
          <w:rFonts w:ascii="Courier New" w:eastAsia="Courier New" w:hAnsi="Courier New" w:cs="Courier New"/>
          <w:b/>
          <w:bCs/>
          <w:color w:val="1F3864"/>
        </w:rPr>
        <w:t xml:space="preserve">  </w:t>
      </w:r>
      <w:proofErr w:type="gramStart"/>
      <w:r>
        <w:rPr>
          <w:rFonts w:ascii="Courier New" w:eastAsia="Courier New" w:hAnsi="Courier New" w:cs="Courier New"/>
          <w:b/>
          <w:bCs/>
          <w:color w:val="1F3864"/>
        </w:rPr>
        <w:t>Approach  +</w:t>
      </w:r>
      <w:proofErr w:type="gramEnd"/>
      <w:r>
        <w:rPr>
          <w:rFonts w:ascii="Courier New" w:eastAsia="Courier New" w:hAnsi="Courier New" w:cs="Courier New"/>
          <w:b/>
          <w:bCs/>
          <w:color w:val="1F3864"/>
        </w:rPr>
        <w:t xml:space="preserve">  </w:t>
      </w:r>
      <w:proofErr w:type="gramStart"/>
      <w:r>
        <w:rPr>
          <w:rFonts w:ascii="Courier New" w:eastAsia="Courier New" w:hAnsi="Courier New" w:cs="Courier New"/>
          <w:b/>
          <w:bCs/>
          <w:color w:val="1F3864"/>
        </w:rPr>
        <w:t>Action)  ÷</w:t>
      </w:r>
      <w:proofErr w:type="gramEnd"/>
      <w:r>
        <w:rPr>
          <w:rFonts w:ascii="Courier New" w:eastAsia="Courier New" w:hAnsi="Courier New" w:cs="Courier New"/>
          <w:b/>
          <w:bCs/>
          <w:color w:val="1F3864"/>
        </w:rPr>
        <w:t xml:space="preserve">  3</w:t>
      </w:r>
    </w:p>
    <w:p w14:paraId="3FCA8DB3" w14:textId="77777777" w:rsidR="0084453D" w:rsidRDefault="00E30BAC">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Topic Score (0–100)   =   Composite (0–5</w:t>
      </w:r>
      <w:proofErr w:type="gramStart"/>
      <w:r>
        <w:rPr>
          <w:rFonts w:ascii="Courier New" w:eastAsia="Courier New" w:hAnsi="Courier New" w:cs="Courier New"/>
          <w:b/>
          <w:bCs/>
          <w:color w:val="1F3864"/>
        </w:rPr>
        <w:t>)  ×</w:t>
      </w:r>
      <w:proofErr w:type="gramEnd"/>
      <w:r>
        <w:rPr>
          <w:rFonts w:ascii="Courier New" w:eastAsia="Courier New" w:hAnsi="Courier New" w:cs="Courier New"/>
          <w:b/>
          <w:bCs/>
          <w:color w:val="1F3864"/>
        </w:rPr>
        <w:t xml:space="preserve">  20</w:t>
      </w:r>
    </w:p>
    <w:p w14:paraId="2D0821E9" w14:textId="77777777" w:rsidR="0084453D" w:rsidRDefault="00E30BAC">
      <w:pPr>
        <w:spacing w:before="80" w:after="60"/>
      </w:pPr>
      <w:r>
        <w:rPr>
          <w:i/>
          <w:iCs/>
          <w:color w:val="666666"/>
          <w:sz w:val="17"/>
          <w:szCs w:val="17"/>
        </w:rPr>
        <w:t>All reported topic scores are on the 0–100 scale. Each dimension carries equal weight (33.3%).</w:t>
      </w:r>
    </w:p>
    <w:p w14:paraId="71DEDFB3" w14:textId="77777777" w:rsidR="0084453D" w:rsidRDefault="00E30BAC">
      <w:pPr>
        <w:pStyle w:val="Heading2"/>
        <w:spacing w:before="280" w:after="120"/>
      </w:pPr>
      <w:proofErr w:type="gramStart"/>
      <w:r>
        <w:rPr>
          <w:b/>
          <w:bCs/>
          <w:color w:val="2E75B6"/>
        </w:rPr>
        <w:t>4.2  Worked</w:t>
      </w:r>
      <w:proofErr w:type="gramEnd"/>
      <w:r>
        <w:rPr>
          <w:b/>
          <w:bCs/>
          <w:color w:val="2E75B6"/>
        </w:rPr>
        <w:t xml:space="preserve"> Examples</w:t>
      </w:r>
    </w:p>
    <w:p w14:paraId="07574224" w14:textId="77777777" w:rsidR="0084453D" w:rsidRDefault="00E30BAC">
      <w:pPr>
        <w:spacing w:before="80" w:after="80"/>
      </w:pPr>
      <w:r>
        <w:rPr>
          <w:b/>
          <w:bCs/>
          <w:color w:val="2E75B6"/>
        </w:rPr>
        <w:t>Example A: Comprehensive risk identification with specific actions</w:t>
      </w:r>
    </w:p>
    <w:p w14:paraId="311B4018" w14:textId="77777777" w:rsidR="0084453D" w:rsidRDefault="00E30BAC">
      <w:pPr>
        <w:spacing w:before="80" w:after="80"/>
      </w:pPr>
      <w:r>
        <w:rPr>
          <w:color w:val="1A1A1A"/>
        </w:rPr>
        <w:t>A multinational company responds as follows:</w:t>
      </w:r>
    </w:p>
    <w:p w14:paraId="23DE3C0D" w14:textId="77777777" w:rsidR="0084453D" w:rsidRDefault="75A5501F">
      <w:pPr>
        <w:spacing w:before="80" w:after="80"/>
      </w:pPr>
      <w:r w:rsidRPr="75A5501F">
        <w:rPr>
          <w:color w:val="1A1A1A"/>
          <w:sz w:val="19"/>
          <w:szCs w:val="19"/>
        </w:rPr>
        <w:t xml:space="preserve">Q2.2: Direct operations: Approach types selected — HRDD process, Consultation with workers/unions, Desk-based research, Internal grievance mechanisms. Process: “We conduct an annual human rights impact assessment for direct operations using the UNGPs as a framework. Risks are identified through worker surveys (2,400 respondents in 2024), trade union consultation, and analysis of grievance data from our whistleblowing hotline. Results are reported to the </w:t>
      </w:r>
      <w:proofErr w:type="gramStart"/>
      <w:r w:rsidRPr="75A5501F">
        <w:rPr>
          <w:color w:val="1A1A1A"/>
          <w:sz w:val="19"/>
          <w:szCs w:val="19"/>
        </w:rPr>
        <w:t>Board</w:t>
      </w:r>
      <w:proofErr w:type="gramEnd"/>
      <w:r w:rsidRPr="75A5501F">
        <w:rPr>
          <w:color w:val="1A1A1A"/>
          <w:sz w:val="19"/>
          <w:szCs w:val="19"/>
        </w:rPr>
        <w:t xml:space="preserve"> ESG Committee quarterly. The assessment covers all employee contract types.” Frequency: Annually for formal assessment, Continuous for grievance monitoring. Value chain: Approach types — HRDD process, Supplier audits, External reports. Process: “First-tier suppliers undergo annual social audits (independent third-party). Supply chain risks are mapped using </w:t>
      </w:r>
      <w:proofErr w:type="spellStart"/>
      <w:r w:rsidRPr="75A5501F">
        <w:rPr>
          <w:color w:val="1A1A1A"/>
          <w:sz w:val="19"/>
          <w:szCs w:val="19"/>
        </w:rPr>
        <w:t>EcoVadis</w:t>
      </w:r>
      <w:proofErr w:type="spellEnd"/>
      <w:r w:rsidRPr="75A5501F">
        <w:rPr>
          <w:color w:val="1A1A1A"/>
          <w:sz w:val="19"/>
          <w:szCs w:val="19"/>
        </w:rPr>
        <w:t xml:space="preserve"> scores and the </w:t>
      </w:r>
      <w:proofErr w:type="spellStart"/>
      <w:r w:rsidRPr="75A5501F">
        <w:rPr>
          <w:color w:val="1A1A1A"/>
          <w:sz w:val="19"/>
          <w:szCs w:val="19"/>
        </w:rPr>
        <w:t>Sedex</w:t>
      </w:r>
      <w:proofErr w:type="spellEnd"/>
      <w:r w:rsidRPr="75A5501F">
        <w:rPr>
          <w:color w:val="1A1A1A"/>
          <w:sz w:val="19"/>
          <w:szCs w:val="19"/>
        </w:rPr>
        <w:t xml:space="preserve"> platform for 85% of Tier 1 spend.” Frequency: Annually.</w:t>
      </w:r>
    </w:p>
    <w:p w14:paraId="0AC9D964" w14:textId="77777777" w:rsidR="0084453D" w:rsidRDefault="75A5501F">
      <w:pPr>
        <w:spacing w:before="80" w:after="80"/>
      </w:pPr>
      <w:r w:rsidRPr="75A5501F">
        <w:rPr>
          <w:color w:val="1A1A1A"/>
          <w:sz w:val="19"/>
          <w:szCs w:val="19"/>
        </w:rPr>
        <w:t xml:space="preserve">Q2.3: Direct Operations: Opportunity 1 — Training (description: “Increasing automation in our logistics </w:t>
      </w:r>
      <w:proofErr w:type="spellStart"/>
      <w:r w:rsidRPr="75A5501F">
        <w:rPr>
          <w:color w:val="1A1A1A"/>
          <w:sz w:val="19"/>
          <w:szCs w:val="19"/>
        </w:rPr>
        <w:t>centres</w:t>
      </w:r>
      <w:proofErr w:type="spellEnd"/>
      <w:r w:rsidRPr="75A5501F">
        <w:rPr>
          <w:color w:val="1A1A1A"/>
          <w:sz w:val="19"/>
          <w:szCs w:val="19"/>
        </w:rPr>
        <w:t xml:space="preserve"> creates an opportunity to invest in digital reskilling for 3,400 warehouse workers, reducing long-term attrition and improving productivity”). Risk 1 — Automation &amp; AI (description: “Automation of repetitive tasks in our Manchester and Rotterdam logistics hubs risks displacement of approx. 800 lower-skilled workers by 2027”). Risk 2 — Health &amp; Safety and Wellbeing (description: “Increased pace of automated picking lines raises ergonomic injury risks for remaining manual workers”). Value Chain: Risk 1 — Modern slavery &amp; child </w:t>
      </w:r>
      <w:proofErr w:type="spellStart"/>
      <w:r w:rsidRPr="75A5501F">
        <w:rPr>
          <w:color w:val="1A1A1A"/>
          <w:sz w:val="19"/>
          <w:szCs w:val="19"/>
        </w:rPr>
        <w:t>labour</w:t>
      </w:r>
      <w:proofErr w:type="spellEnd"/>
      <w:r w:rsidRPr="75A5501F">
        <w:rPr>
          <w:color w:val="1A1A1A"/>
          <w:sz w:val="19"/>
          <w:szCs w:val="19"/>
        </w:rPr>
        <w:t xml:space="preserve"> (description: “Our raw cotton sourcing from Uzbekistan and Turkmenistan remains at elevated risk of state-sponsored forced </w:t>
      </w:r>
      <w:proofErr w:type="spellStart"/>
      <w:r w:rsidRPr="75A5501F">
        <w:rPr>
          <w:color w:val="1A1A1A"/>
          <w:sz w:val="19"/>
          <w:szCs w:val="19"/>
        </w:rPr>
        <w:t>labour</w:t>
      </w:r>
      <w:proofErr w:type="spellEnd"/>
      <w:r w:rsidRPr="75A5501F">
        <w:rPr>
          <w:color w:val="1A1A1A"/>
          <w:sz w:val="19"/>
          <w:szCs w:val="19"/>
        </w:rPr>
        <w:t>; approx. 1,200 workers in our Tier 1 supplier network potentially affected”).</w:t>
      </w:r>
    </w:p>
    <w:p w14:paraId="393F6F24" w14:textId="77777777" w:rsidR="0084453D" w:rsidRDefault="75A5501F">
      <w:pPr>
        <w:spacing w:before="80" w:after="80"/>
      </w:pPr>
      <w:r w:rsidRPr="75A5501F">
        <w:rPr>
          <w:color w:val="1A1A1A"/>
          <w:sz w:val="19"/>
          <w:szCs w:val="19"/>
        </w:rPr>
        <w:t xml:space="preserve">Q2.4: Direct Ops – Automation Risk: Action: “We launched a ‘Future Skills’ reskilling </w:t>
      </w:r>
      <w:proofErr w:type="spellStart"/>
      <w:r w:rsidRPr="75A5501F">
        <w:rPr>
          <w:color w:val="1A1A1A"/>
          <w:sz w:val="19"/>
          <w:szCs w:val="19"/>
        </w:rPr>
        <w:t>programme</w:t>
      </w:r>
      <w:proofErr w:type="spellEnd"/>
      <w:r w:rsidRPr="75A5501F">
        <w:rPr>
          <w:color w:val="1A1A1A"/>
          <w:sz w:val="19"/>
          <w:szCs w:val="19"/>
        </w:rPr>
        <w:t xml:space="preserve"> in Q2 2024 for logistics staff across 4 UK and Netherlands facilities, targeting 800 at-risk workers for retraining in robotics maintenance and data quality roles. 340 workers have completed modules to date.” Stakeholders: Workers, Trade unions. Value Chain – Modern Slavery Risk: Action: “We suspended sourcing from two Uzbekistan suppliers in 2023 pending third-party verification and engaged an NGO (Responsible Business Alliance) to conduct worker interviews. We have committed to 100% verified supply for cotton by 2025.” Stakeholders: Other worker representative bodies, </w:t>
      </w:r>
      <w:proofErr w:type="spellStart"/>
      <w:r w:rsidRPr="75A5501F">
        <w:rPr>
          <w:color w:val="1A1A1A"/>
          <w:sz w:val="19"/>
          <w:szCs w:val="19"/>
        </w:rPr>
        <w:t>Labour</w:t>
      </w:r>
      <w:proofErr w:type="spellEnd"/>
      <w:r w:rsidRPr="75A5501F">
        <w:rPr>
          <w:color w:val="1A1A1A"/>
          <w:sz w:val="19"/>
          <w:szCs w:val="19"/>
        </w:rPr>
        <w:t xml:space="preserve"> rights CSOs.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84453D" w14:paraId="34392AC8" w14:textId="77777777">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B1C5060" w14:textId="77777777" w:rsidR="0084453D" w:rsidRDefault="00E30BAC">
            <w:pPr>
              <w:jc w:val="center"/>
            </w:pPr>
            <w:r>
              <w:rPr>
                <w:b/>
                <w:bCs/>
                <w:color w:val="FFFFFF"/>
                <w:sz w:val="16"/>
                <w:szCs w:val="16"/>
              </w:rPr>
              <w:lastRenderedPageBreak/>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5FC53F1" w14:textId="77777777" w:rsidR="0084453D" w:rsidRDefault="00E30BAC">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ED958A7" w14:textId="77777777" w:rsidR="0084453D" w:rsidRDefault="00E30BAC">
            <w:pPr>
              <w:jc w:val="center"/>
            </w:pPr>
            <w:r>
              <w:rPr>
                <w:b/>
                <w:bCs/>
                <w:color w:val="FFFFFF"/>
                <w:sz w:val="16"/>
                <w:szCs w:val="16"/>
              </w:rPr>
              <w:t>Calculation</w:t>
            </w:r>
          </w:p>
        </w:tc>
      </w:tr>
      <w:tr w:rsidR="0084453D" w14:paraId="521617EE" w14:textId="77777777">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A2E97A2" w14:textId="77777777" w:rsidR="0084453D" w:rsidRDefault="00E30BAC">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15A90083" w14:textId="77777777" w:rsidR="0084453D" w:rsidRDefault="00E30BAC">
            <w:pPr>
              <w:spacing w:before="20" w:after="20"/>
            </w:pPr>
            <w:r>
              <w:rPr>
                <w:color w:val="1A1A1A"/>
                <w:sz w:val="18"/>
                <w:szCs w:val="18"/>
              </w:rPr>
              <w:t>5 (</w:t>
            </w:r>
            <w:proofErr w:type="gramStart"/>
            <w:r>
              <w:rPr>
                <w:color w:val="1A1A1A"/>
                <w:sz w:val="18"/>
                <w:szCs w:val="18"/>
              </w:rPr>
              <w:t>Leading) —</w:t>
            </w:r>
            <w:proofErr w:type="gramEnd"/>
            <w:r>
              <w:rPr>
                <w:color w:val="1A1A1A"/>
                <w:sz w:val="18"/>
                <w:szCs w:val="18"/>
              </w:rPr>
              <w:t xml:space="preserve"> AND satisfied: BOTH scopes addressed. Direct ops: specific worker counts (3,400, 800), named locations (Manchester, Rotterdam), clear materiality articulation. Value chain: specific geography (Uzbekistan, Turkmenistan), approximate affected workers (1,200), supply chain tier named. Categories are genuinely diverse (Training, Automation, H&amp;S, Modern slavery).</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A05A809" w14:textId="77777777" w:rsidR="0084453D" w:rsidRDefault="0084453D">
            <w:pPr>
              <w:spacing w:before="20" w:after="20"/>
            </w:pPr>
          </w:p>
        </w:tc>
      </w:tr>
      <w:tr w:rsidR="0084453D" w14:paraId="1ED90CEC" w14:textId="77777777">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B6E8193" w14:textId="77777777" w:rsidR="0084453D" w:rsidRDefault="00E30BAC">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25BA6214" w14:textId="77777777" w:rsidR="0084453D" w:rsidRDefault="00E30BAC">
            <w:pPr>
              <w:spacing w:before="20" w:after="20"/>
            </w:pPr>
            <w:r>
              <w:rPr>
                <w:color w:val="1A1A1A"/>
                <w:sz w:val="18"/>
                <w:szCs w:val="18"/>
              </w:rPr>
              <w:t>5 (Leading) — AND satisfied: Q2.2 covers both scopes with 4 approach types (direct ops, including HRDD and worker consultation) and 3 types (value chain, including HRDD and audits), comprehensive process descriptions referencing UNGPs, specific tools (</w:t>
            </w:r>
            <w:proofErr w:type="spellStart"/>
            <w:r>
              <w:rPr>
                <w:color w:val="1A1A1A"/>
                <w:sz w:val="18"/>
                <w:szCs w:val="18"/>
              </w:rPr>
              <w:t>EcoVadis</w:t>
            </w:r>
            <w:proofErr w:type="spellEnd"/>
            <w:r>
              <w:rPr>
                <w:color w:val="1A1A1A"/>
                <w:sz w:val="18"/>
                <w:szCs w:val="18"/>
              </w:rPr>
              <w:t xml:space="preserve">, </w:t>
            </w:r>
            <w:proofErr w:type="spellStart"/>
            <w:r>
              <w:rPr>
                <w:color w:val="1A1A1A"/>
                <w:sz w:val="18"/>
                <w:szCs w:val="18"/>
              </w:rPr>
              <w:t>Sedex</w:t>
            </w:r>
            <w:proofErr w:type="spellEnd"/>
            <w:r>
              <w:rPr>
                <w:color w:val="1A1A1A"/>
                <w:sz w:val="18"/>
                <w:szCs w:val="18"/>
              </w:rPr>
              <w:t xml:space="preserve">), annual+ frequency. Q2.4 stakeholder consultation is broad: Workers, Trade unions (direct ops) and </w:t>
            </w:r>
            <w:proofErr w:type="spellStart"/>
            <w:r>
              <w:rPr>
                <w:color w:val="1A1A1A"/>
                <w:sz w:val="18"/>
                <w:szCs w:val="18"/>
              </w:rPr>
              <w:t>Labour</w:t>
            </w:r>
            <w:proofErr w:type="spellEnd"/>
            <w:r>
              <w:rPr>
                <w:color w:val="1A1A1A"/>
                <w:sz w:val="18"/>
                <w:szCs w:val="18"/>
              </w:rPr>
              <w:t xml:space="preserve"> rights CSOs (value chain).</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A39BBE3" w14:textId="77777777" w:rsidR="0084453D" w:rsidRDefault="0084453D">
            <w:pPr>
              <w:spacing w:before="20" w:after="20"/>
            </w:pPr>
          </w:p>
        </w:tc>
      </w:tr>
      <w:tr w:rsidR="0084453D" w14:paraId="22ABA489" w14:textId="77777777">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2F06B1F4" w14:textId="77777777" w:rsidR="0084453D" w:rsidRDefault="00E30BAC">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13BFFD39" w14:textId="77777777" w:rsidR="0084453D" w:rsidRDefault="00E30BAC">
            <w:pPr>
              <w:spacing w:before="20" w:after="20"/>
            </w:pPr>
            <w:r>
              <w:rPr>
                <w:color w:val="1A1A1A"/>
                <w:sz w:val="18"/>
                <w:szCs w:val="18"/>
              </w:rPr>
              <w:t>5 (</w:t>
            </w:r>
            <w:proofErr w:type="gramStart"/>
            <w:r>
              <w:rPr>
                <w:color w:val="1A1A1A"/>
                <w:sz w:val="18"/>
                <w:szCs w:val="18"/>
              </w:rPr>
              <w:t>Leading) —</w:t>
            </w:r>
            <w:proofErr w:type="gramEnd"/>
            <w:r>
              <w:rPr>
                <w:color w:val="1A1A1A"/>
                <w:sz w:val="18"/>
                <w:szCs w:val="18"/>
              </w:rPr>
              <w:t xml:space="preserve"> AND satisfied: substantive action in BOTH scopes. Direct ops: named </w:t>
            </w:r>
            <w:proofErr w:type="spellStart"/>
            <w:proofErr w:type="gramStart"/>
            <w:r>
              <w:rPr>
                <w:color w:val="1A1A1A"/>
                <w:sz w:val="18"/>
                <w:szCs w:val="18"/>
              </w:rPr>
              <w:t>programme</w:t>
            </w:r>
            <w:proofErr w:type="spellEnd"/>
            <w:r>
              <w:rPr>
                <w:color w:val="1A1A1A"/>
                <w:sz w:val="18"/>
                <w:szCs w:val="18"/>
              </w:rPr>
              <w:t xml:space="preserve"> (‘</w:t>
            </w:r>
            <w:proofErr w:type="gramEnd"/>
            <w:r>
              <w:rPr>
                <w:color w:val="1A1A1A"/>
                <w:sz w:val="18"/>
                <w:szCs w:val="18"/>
              </w:rPr>
              <w:t>Future Skills’), specific locations (4 facilities), worker count (800 targeted, 340 completed), timeline (Q2 2024). Value chain: specific action (supplier suspension), named NGO partner (RBA), verified commitment with timeline (100% by 2025).</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1C8F396" w14:textId="77777777" w:rsidR="0084453D" w:rsidRDefault="0084453D">
            <w:pPr>
              <w:spacing w:before="20" w:after="20"/>
            </w:pPr>
          </w:p>
        </w:tc>
      </w:tr>
      <w:tr w:rsidR="0084453D" w14:paraId="190641E2" w14:textId="77777777">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0C00B5CD" w14:textId="77777777" w:rsidR="0084453D" w:rsidRDefault="00E30BAC">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0000942" w14:textId="77777777" w:rsidR="0084453D" w:rsidRDefault="00E30BAC">
            <w:pPr>
              <w:spacing w:before="20" w:after="20"/>
            </w:pPr>
            <w:r>
              <w:rPr>
                <w:b/>
                <w:bCs/>
                <w:color w:val="1A1A1A"/>
                <w:sz w:val="19"/>
                <w:szCs w:val="19"/>
              </w:rPr>
              <w:t>(5 + 5 + 5) ÷ 3 = 5.00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A88731E" w14:textId="77777777" w:rsidR="0084453D" w:rsidRDefault="00E30BAC">
            <w:pPr>
              <w:spacing w:before="20" w:after="20"/>
            </w:pPr>
            <w:r>
              <w:rPr>
                <w:b/>
                <w:bCs/>
                <w:color w:val="1A1A1A"/>
                <w:sz w:val="19"/>
                <w:szCs w:val="19"/>
              </w:rPr>
              <w:t>Topic Score = 5.00 × 20 = 100 / 100</w:t>
            </w:r>
          </w:p>
        </w:tc>
      </w:tr>
    </w:tbl>
    <w:p w14:paraId="5BF318BB" w14:textId="77777777" w:rsidR="0084453D" w:rsidRDefault="00E30BAC">
      <w:pPr>
        <w:spacing w:before="80" w:after="60"/>
      </w:pPr>
      <w:r>
        <w:rPr>
          <w:i/>
          <w:iCs/>
          <w:color w:val="666666"/>
          <w:sz w:val="17"/>
          <w:szCs w:val="17"/>
        </w:rPr>
        <w:t>Full marks. The response demonstrates that specificity, not volume, drives the score — four well-described entries with named populations, locations, and specific steps outperform twelve generic entries.</w:t>
      </w:r>
    </w:p>
    <w:p w14:paraId="39313CF9" w14:textId="77777777" w:rsidR="0084453D" w:rsidRDefault="00E30BAC">
      <w:pPr>
        <w:spacing w:before="240" w:after="80"/>
      </w:pPr>
      <w:r>
        <w:rPr>
          <w:b/>
          <w:bCs/>
          <w:color w:val="2E75B6"/>
        </w:rPr>
        <w:t>Example B: Generic identification with vague process and no action</w:t>
      </w:r>
    </w:p>
    <w:p w14:paraId="3ED2915C" w14:textId="77777777" w:rsidR="0084453D" w:rsidRDefault="00E30BAC">
      <w:pPr>
        <w:spacing w:before="80" w:after="80"/>
      </w:pPr>
      <w:r>
        <w:rPr>
          <w:color w:val="1A1A1A"/>
        </w:rPr>
        <w:t>A mid-sized company responds as follows:</w:t>
      </w:r>
    </w:p>
    <w:p w14:paraId="22D6D2B7" w14:textId="77777777" w:rsidR="0084453D" w:rsidRDefault="00E30BAC">
      <w:pPr>
        <w:spacing w:before="80" w:after="80"/>
      </w:pPr>
      <w:r>
        <w:rPr>
          <w:color w:val="1A1A1A"/>
          <w:sz w:val="19"/>
          <w:szCs w:val="19"/>
        </w:rPr>
        <w:t>Q2.2: Direct operations only: Approach type — Desk-based research. Process: “We conduct an annual review of workforce risks.” Workforce coverage: Full-time/permanent employees. Frequency: Annually. Value chain: blank.</w:t>
      </w:r>
    </w:p>
    <w:p w14:paraId="5430F1EF" w14:textId="77777777" w:rsidR="0084453D" w:rsidRDefault="00E30BAC">
      <w:pPr>
        <w:spacing w:before="80" w:after="80"/>
      </w:pPr>
      <w:r>
        <w:rPr>
          <w:color w:val="1A1A1A"/>
          <w:sz w:val="19"/>
          <w:szCs w:val="19"/>
        </w:rPr>
        <w:t>Q2.3: Direct Operations: Opportunity 1 — Training (“Training is important for our employees”). Risk 1 — Health &amp; Safety and Wellbeing (“Health and safety is a risk in our operations.”). Value chain: all blank.</w:t>
      </w:r>
    </w:p>
    <w:p w14:paraId="06E2F49B" w14:textId="77777777" w:rsidR="0084453D" w:rsidRDefault="00E30BAC">
      <w:pPr>
        <w:spacing w:before="80" w:after="80"/>
      </w:pPr>
      <w:r>
        <w:rPr>
          <w:color w:val="1A1A1A"/>
          <w:sz w:val="19"/>
          <w:szCs w:val="19"/>
        </w:rPr>
        <w:t xml:space="preserve">Q2.4: Direct Ops – Training Opportunity: Action </w:t>
      </w:r>
      <w:proofErr w:type="gramStart"/>
      <w:r>
        <w:rPr>
          <w:color w:val="1A1A1A"/>
          <w:sz w:val="19"/>
          <w:szCs w:val="19"/>
        </w:rPr>
        <w:t>taken:</w:t>
      </w:r>
      <w:proofErr w:type="gramEnd"/>
      <w:r>
        <w:rPr>
          <w:color w:val="1A1A1A"/>
          <w:sz w:val="19"/>
          <w:szCs w:val="19"/>
        </w:rPr>
        <w:t xml:space="preserve"> blank. If no action: “We plan to develop a training </w:t>
      </w:r>
      <w:proofErr w:type="spellStart"/>
      <w:r>
        <w:rPr>
          <w:color w:val="1A1A1A"/>
          <w:sz w:val="19"/>
          <w:szCs w:val="19"/>
        </w:rPr>
        <w:t>programme</w:t>
      </w:r>
      <w:proofErr w:type="spellEnd"/>
      <w:r>
        <w:rPr>
          <w:color w:val="1A1A1A"/>
          <w:sz w:val="19"/>
          <w:szCs w:val="19"/>
        </w:rPr>
        <w:t xml:space="preserve"> in the future.” Direct Ops – H&amp;S Risk: Action taken: “We have policies in place.” Stakeholders: blank. Value chain rows: all blank.</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84453D" w14:paraId="2B1DB986" w14:textId="77777777">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6D58ACB" w14:textId="77777777" w:rsidR="0084453D" w:rsidRDefault="00E30BAC">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1A3852D" w14:textId="77777777" w:rsidR="0084453D" w:rsidRDefault="00E30BAC">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975F6F5" w14:textId="77777777" w:rsidR="0084453D" w:rsidRDefault="00E30BAC">
            <w:pPr>
              <w:jc w:val="center"/>
            </w:pPr>
            <w:r>
              <w:rPr>
                <w:b/>
                <w:bCs/>
                <w:color w:val="FFFFFF"/>
                <w:sz w:val="16"/>
                <w:szCs w:val="16"/>
              </w:rPr>
              <w:t>Calculation</w:t>
            </w:r>
          </w:p>
        </w:tc>
      </w:tr>
      <w:tr w:rsidR="0084453D" w14:paraId="2D2798EF" w14:textId="77777777">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0B2043BB" w14:textId="77777777" w:rsidR="0084453D" w:rsidRDefault="00E30BAC">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0EE799E7" w14:textId="77777777" w:rsidR="0084453D" w:rsidRDefault="00E30BAC">
            <w:pPr>
              <w:spacing w:before="20" w:after="20"/>
            </w:pPr>
            <w:r>
              <w:rPr>
                <w:color w:val="1A1A1A"/>
                <w:sz w:val="18"/>
                <w:szCs w:val="18"/>
              </w:rPr>
              <w:t>1 (Minimal) — Q2.3 has entries for direct operations only, but both descriptions are entirely generic (“Training is important” / “H&amp;S is a risk”) — no specificity about worker groups, locations, or why this company specifically faces these risks. Value chain is blank. AND fails for higher levels: only one scope, no specificity.</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2A3D3EC" w14:textId="77777777" w:rsidR="0084453D" w:rsidRDefault="0084453D">
            <w:pPr>
              <w:spacing w:before="20" w:after="20"/>
            </w:pPr>
          </w:p>
        </w:tc>
      </w:tr>
      <w:tr w:rsidR="0084453D" w14:paraId="04AEDEB5" w14:textId="77777777">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9ADA280" w14:textId="77777777" w:rsidR="0084453D" w:rsidRDefault="00E30BAC">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0D6A97F" w14:textId="77777777" w:rsidR="0084453D" w:rsidRDefault="00E30BAC">
            <w:pPr>
              <w:spacing w:before="20" w:after="20"/>
            </w:pPr>
            <w:r>
              <w:rPr>
                <w:color w:val="1A1A1A"/>
                <w:sz w:val="18"/>
                <w:szCs w:val="18"/>
              </w:rPr>
              <w:t>1 (</w:t>
            </w:r>
            <w:proofErr w:type="gramStart"/>
            <w:r>
              <w:rPr>
                <w:color w:val="1A1A1A"/>
                <w:sz w:val="18"/>
                <w:szCs w:val="18"/>
              </w:rPr>
              <w:t>Minimal) —</w:t>
            </w:r>
            <w:proofErr w:type="gramEnd"/>
            <w:r>
              <w:rPr>
                <w:color w:val="1A1A1A"/>
                <w:sz w:val="18"/>
                <w:szCs w:val="18"/>
              </w:rPr>
              <w:t xml:space="preserve"> Q2.2 selects only desk-based research (the lowest-effort approach type), with a single generic sentence as the process description, covers only permanent employees, and is blank for value chain. Q2.4 stakeholder consultation is blank. OR reaches 1 via Q2.2 having some data, but no sub-area meets even the basic standard.</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D0B940D" w14:textId="77777777" w:rsidR="0084453D" w:rsidRDefault="0084453D">
            <w:pPr>
              <w:spacing w:before="20" w:after="20"/>
            </w:pPr>
          </w:p>
        </w:tc>
      </w:tr>
      <w:tr w:rsidR="0084453D" w14:paraId="10756905" w14:textId="77777777">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4FAB225" w14:textId="77777777" w:rsidR="0084453D" w:rsidRDefault="00E30BAC">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49C0679" w14:textId="77777777" w:rsidR="0084453D" w:rsidRDefault="00E30BAC">
            <w:pPr>
              <w:spacing w:before="20" w:after="20"/>
            </w:pPr>
            <w:r>
              <w:rPr>
                <w:color w:val="1A1A1A"/>
                <w:sz w:val="18"/>
                <w:szCs w:val="18"/>
              </w:rPr>
              <w:t xml:space="preserve">1 (Minimal) — One Q2.4 row has “we have policies in place” — this is the classic minimal action descriptor with no named business area, no affected worker group, no specific step. Qualifies for score 1 but not higher. Training </w:t>
            </w:r>
            <w:r>
              <w:rPr>
                <w:color w:val="1A1A1A"/>
                <w:sz w:val="18"/>
                <w:szCs w:val="18"/>
              </w:rPr>
              <w:lastRenderedPageBreak/>
              <w:t xml:space="preserve">opportunity has no action (only </w:t>
            </w:r>
            <w:proofErr w:type="gramStart"/>
            <w:r>
              <w:rPr>
                <w:color w:val="1A1A1A"/>
                <w:sz w:val="18"/>
                <w:szCs w:val="18"/>
              </w:rPr>
              <w:t>future plans</w:t>
            </w:r>
            <w:proofErr w:type="gramEnd"/>
            <w:r>
              <w:rPr>
                <w:color w:val="1A1A1A"/>
                <w:sz w:val="18"/>
                <w:szCs w:val="18"/>
              </w:rPr>
              <w:t>, which feed Awareness not Action).</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E27B00A" w14:textId="77777777" w:rsidR="0084453D" w:rsidRDefault="0084453D">
            <w:pPr>
              <w:spacing w:before="20" w:after="20"/>
            </w:pPr>
          </w:p>
        </w:tc>
      </w:tr>
      <w:tr w:rsidR="0084453D" w14:paraId="0A067A8E" w14:textId="77777777">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5839CD9" w14:textId="77777777" w:rsidR="0084453D" w:rsidRDefault="00E30BAC">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EF3653C" w14:textId="77777777" w:rsidR="0084453D" w:rsidRDefault="00E30BAC">
            <w:pPr>
              <w:spacing w:before="20" w:after="20"/>
            </w:pPr>
            <w:r>
              <w:rPr>
                <w:b/>
                <w:bCs/>
                <w:color w:val="1A1A1A"/>
                <w:sz w:val="19"/>
                <w:szCs w:val="19"/>
              </w:rPr>
              <w:t>(1 + 1 + 1) ÷ 3 = 1.00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30D8CF19" w14:textId="77777777" w:rsidR="0084453D" w:rsidRDefault="00E30BAC">
            <w:pPr>
              <w:spacing w:before="20" w:after="20"/>
            </w:pPr>
            <w:r>
              <w:rPr>
                <w:b/>
                <w:bCs/>
                <w:color w:val="1A1A1A"/>
                <w:sz w:val="19"/>
                <w:szCs w:val="19"/>
              </w:rPr>
              <w:t>Topic Score = 1.00 × 20 = 20 / 100</w:t>
            </w:r>
          </w:p>
        </w:tc>
      </w:tr>
    </w:tbl>
    <w:p w14:paraId="5E5D764E" w14:textId="77777777" w:rsidR="0084453D" w:rsidRDefault="00E30BAC">
      <w:pPr>
        <w:spacing w:before="80" w:after="60"/>
      </w:pPr>
      <w:r>
        <w:rPr>
          <w:i/>
          <w:iCs/>
          <w:color w:val="666666"/>
          <w:sz w:val="17"/>
          <w:szCs w:val="17"/>
        </w:rPr>
        <w:t>The quality-over-quantity principle applies directly: the company identified risks and opportunities and has some process, but the complete lack of specificity across all three questions caps every dimension at 1. Next steps: add specificity to Q2.3 descriptions (name specific worker groups and locations), add HRDD or worker consultation to Q2.2 approach types, describe the H&amp;S action concretely (what policy, which workers, what it requires), and begin addressing value chain risks.</w:t>
      </w:r>
    </w:p>
    <w:sectPr w:rsidR="0084453D">
      <w:headerReference w:type="even" r:id="rId11"/>
      <w:headerReference w:type="default" r:id="rId12"/>
      <w:footerReference w:type="even" r:id="rId13"/>
      <w:footerReference w:type="default" r:id="rId14"/>
      <w:headerReference w:type="first" r:id="rId15"/>
      <w:footerReference w:type="first" r:id="rId16"/>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18A6A" w14:textId="77777777" w:rsidR="00D6741D" w:rsidRDefault="00D6741D" w:rsidP="00A2183E">
      <w:r>
        <w:separator/>
      </w:r>
    </w:p>
  </w:endnote>
  <w:endnote w:type="continuationSeparator" w:id="0">
    <w:p w14:paraId="33872A33" w14:textId="77777777" w:rsidR="00D6741D" w:rsidRDefault="00D6741D" w:rsidP="00A21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5095B" w14:textId="77777777" w:rsidR="00A2183E" w:rsidRDefault="00A218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D06FC" w14:textId="77777777" w:rsidR="00A2183E" w:rsidRDefault="00A218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328B2" w14:textId="77777777" w:rsidR="00A2183E" w:rsidRDefault="00A218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19E4B" w14:textId="77777777" w:rsidR="00D6741D" w:rsidRDefault="00D6741D" w:rsidP="00A2183E">
      <w:r>
        <w:separator/>
      </w:r>
    </w:p>
  </w:footnote>
  <w:footnote w:type="continuationSeparator" w:id="0">
    <w:p w14:paraId="66F33E20" w14:textId="77777777" w:rsidR="00D6741D" w:rsidRDefault="00D6741D" w:rsidP="00A21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21F26" w14:textId="77777777" w:rsidR="00A2183E" w:rsidRDefault="00A218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4137850"/>
      <w:docPartObj>
        <w:docPartGallery w:val="Watermarks"/>
        <w:docPartUnique/>
      </w:docPartObj>
    </w:sdtPr>
    <w:sdtContent>
      <w:p w14:paraId="70E026A3" w14:textId="4B006D3E" w:rsidR="00A2183E" w:rsidRDefault="00A2183E">
        <w:pPr>
          <w:pStyle w:val="Header"/>
        </w:pPr>
        <w:r>
          <w:rPr>
            <w:noProof/>
          </w:rPr>
          <w:pict w14:anchorId="5A6CF1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7FF3F" w14:textId="77777777" w:rsidR="00A2183E" w:rsidRDefault="00A218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57B091"/>
    <w:multiLevelType w:val="hybridMultilevel"/>
    <w:tmpl w:val="FFFFFFFF"/>
    <w:lvl w:ilvl="0" w:tplc="07A80B5E">
      <w:start w:val="1"/>
      <w:numFmt w:val="bullet"/>
      <w:lvlText w:val="●"/>
      <w:lvlJc w:val="left"/>
      <w:pPr>
        <w:ind w:left="720" w:hanging="360"/>
      </w:pPr>
    </w:lvl>
    <w:lvl w:ilvl="1" w:tplc="9904A2FE">
      <w:start w:val="1"/>
      <w:numFmt w:val="bullet"/>
      <w:lvlText w:val="○"/>
      <w:lvlJc w:val="left"/>
      <w:pPr>
        <w:ind w:left="1440" w:hanging="360"/>
      </w:pPr>
    </w:lvl>
    <w:lvl w:ilvl="2" w:tplc="8BD63376">
      <w:start w:val="1"/>
      <w:numFmt w:val="bullet"/>
      <w:lvlText w:val="■"/>
      <w:lvlJc w:val="left"/>
      <w:pPr>
        <w:ind w:left="2160" w:hanging="360"/>
      </w:pPr>
    </w:lvl>
    <w:lvl w:ilvl="3" w:tplc="9A4A99BA">
      <w:start w:val="1"/>
      <w:numFmt w:val="bullet"/>
      <w:lvlText w:val="●"/>
      <w:lvlJc w:val="left"/>
      <w:pPr>
        <w:ind w:left="2880" w:hanging="360"/>
      </w:pPr>
    </w:lvl>
    <w:lvl w:ilvl="4" w:tplc="15B64EA6">
      <w:start w:val="1"/>
      <w:numFmt w:val="bullet"/>
      <w:lvlText w:val="○"/>
      <w:lvlJc w:val="left"/>
      <w:pPr>
        <w:ind w:left="3600" w:hanging="360"/>
      </w:pPr>
    </w:lvl>
    <w:lvl w:ilvl="5" w:tplc="9D6EF590">
      <w:start w:val="1"/>
      <w:numFmt w:val="bullet"/>
      <w:lvlText w:val="■"/>
      <w:lvlJc w:val="left"/>
      <w:pPr>
        <w:ind w:left="4320" w:hanging="360"/>
      </w:pPr>
    </w:lvl>
    <w:lvl w:ilvl="6" w:tplc="38D4681A">
      <w:start w:val="1"/>
      <w:numFmt w:val="bullet"/>
      <w:lvlText w:val="●"/>
      <w:lvlJc w:val="left"/>
      <w:pPr>
        <w:ind w:left="5040" w:hanging="360"/>
      </w:pPr>
    </w:lvl>
    <w:lvl w:ilvl="7" w:tplc="3624714A">
      <w:start w:val="1"/>
      <w:numFmt w:val="bullet"/>
      <w:lvlText w:val="●"/>
      <w:lvlJc w:val="left"/>
      <w:pPr>
        <w:ind w:left="5760" w:hanging="360"/>
      </w:pPr>
    </w:lvl>
    <w:lvl w:ilvl="8" w:tplc="93C2F996">
      <w:start w:val="1"/>
      <w:numFmt w:val="bullet"/>
      <w:lvlText w:val="●"/>
      <w:lvlJc w:val="left"/>
      <w:pPr>
        <w:ind w:left="6480" w:hanging="360"/>
      </w:pPr>
    </w:lvl>
  </w:abstractNum>
  <w:num w:numId="1" w16cid:durableId="166693076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5A5501F"/>
    <w:rsid w:val="00574EBB"/>
    <w:rsid w:val="0077089F"/>
    <w:rsid w:val="007BC238"/>
    <w:rsid w:val="0084453D"/>
    <w:rsid w:val="00A2183E"/>
    <w:rsid w:val="00A45E85"/>
    <w:rsid w:val="00AF6ED4"/>
    <w:rsid w:val="00B17A4F"/>
    <w:rsid w:val="00B43AC7"/>
    <w:rsid w:val="00B74CDF"/>
    <w:rsid w:val="00CB0135"/>
    <w:rsid w:val="00D6741D"/>
    <w:rsid w:val="00E30BAC"/>
    <w:rsid w:val="1DEDAE05"/>
    <w:rsid w:val="2199B75C"/>
    <w:rsid w:val="236DBCB3"/>
    <w:rsid w:val="34202E7A"/>
    <w:rsid w:val="3A82AAE1"/>
    <w:rsid w:val="4B63EB92"/>
    <w:rsid w:val="5F12FFFA"/>
    <w:rsid w:val="75A5501F"/>
    <w:rsid w:val="7A91EA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79477C"/>
  <w15:docId w15:val="{86A13C17-EEB1-4D33-956A-A6DE13C8B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style>
  <w:style w:type="character" w:styleId="CommentReference">
    <w:name w:val="annotation reference"/>
    <w:basedOn w:val="DefaultParagraphFont"/>
    <w:uiPriority w:val="99"/>
    <w:semiHidden/>
    <w:unhideWhenUsed/>
    <w:rsid w:val="00AF6ED4"/>
    <w:rPr>
      <w:sz w:val="16"/>
      <w:szCs w:val="16"/>
    </w:rPr>
  </w:style>
  <w:style w:type="paragraph" w:styleId="CommentText">
    <w:name w:val="annotation text"/>
    <w:basedOn w:val="Normal"/>
    <w:link w:val="CommentTextChar"/>
    <w:uiPriority w:val="99"/>
    <w:unhideWhenUsed/>
    <w:rsid w:val="00AF6ED4"/>
  </w:style>
  <w:style w:type="character" w:customStyle="1" w:styleId="CommentTextChar">
    <w:name w:val="Comment Text Char"/>
    <w:basedOn w:val="DefaultParagraphFont"/>
    <w:link w:val="CommentText"/>
    <w:uiPriority w:val="99"/>
    <w:rsid w:val="00AF6ED4"/>
  </w:style>
  <w:style w:type="paragraph" w:styleId="CommentSubject">
    <w:name w:val="annotation subject"/>
    <w:basedOn w:val="CommentText"/>
    <w:next w:val="CommentText"/>
    <w:link w:val="CommentSubjectChar"/>
    <w:uiPriority w:val="99"/>
    <w:semiHidden/>
    <w:unhideWhenUsed/>
    <w:rsid w:val="00AF6ED4"/>
    <w:rPr>
      <w:b/>
      <w:bCs/>
    </w:rPr>
  </w:style>
  <w:style w:type="character" w:customStyle="1" w:styleId="CommentSubjectChar">
    <w:name w:val="Comment Subject Char"/>
    <w:basedOn w:val="CommentTextChar"/>
    <w:link w:val="CommentSubject"/>
    <w:uiPriority w:val="99"/>
    <w:semiHidden/>
    <w:rsid w:val="00AF6ED4"/>
    <w:rPr>
      <w:b/>
      <w:bCs/>
    </w:rPr>
  </w:style>
  <w:style w:type="paragraph" w:styleId="Header">
    <w:name w:val="header"/>
    <w:basedOn w:val="Normal"/>
    <w:link w:val="HeaderChar"/>
    <w:uiPriority w:val="99"/>
    <w:unhideWhenUsed/>
    <w:rsid w:val="00A2183E"/>
    <w:pPr>
      <w:tabs>
        <w:tab w:val="center" w:pos="4513"/>
        <w:tab w:val="right" w:pos="9026"/>
      </w:tabs>
    </w:pPr>
  </w:style>
  <w:style w:type="character" w:customStyle="1" w:styleId="HeaderChar">
    <w:name w:val="Header Char"/>
    <w:basedOn w:val="DefaultParagraphFont"/>
    <w:link w:val="Header"/>
    <w:uiPriority w:val="99"/>
    <w:rsid w:val="00A2183E"/>
  </w:style>
  <w:style w:type="paragraph" w:styleId="Footer">
    <w:name w:val="footer"/>
    <w:basedOn w:val="Normal"/>
    <w:link w:val="FooterChar"/>
    <w:uiPriority w:val="99"/>
    <w:unhideWhenUsed/>
    <w:rsid w:val="00A2183E"/>
    <w:pPr>
      <w:tabs>
        <w:tab w:val="center" w:pos="4513"/>
        <w:tab w:val="right" w:pos="9026"/>
      </w:tabs>
    </w:pPr>
  </w:style>
  <w:style w:type="character" w:customStyle="1" w:styleId="FooterChar">
    <w:name w:val="Footer Char"/>
    <w:basedOn w:val="DefaultParagraphFont"/>
    <w:link w:val="Footer"/>
    <w:uiPriority w:val="99"/>
    <w:rsid w:val="00A218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42D85-FD29-4B59-9A4D-0D7729A47CF9}">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customXml/itemProps2.xml><?xml version="1.0" encoding="utf-8"?>
<ds:datastoreItem xmlns:ds="http://schemas.openxmlformats.org/officeDocument/2006/customXml" ds:itemID="{10F97FDA-8392-41E7-9863-FC76D9F824B9}">
  <ds:schemaRefs>
    <ds:schemaRef ds:uri="http://schemas.microsoft.com/sharepoint/v3/contenttype/forms"/>
  </ds:schemaRefs>
</ds:datastoreItem>
</file>

<file path=customXml/itemProps3.xml><?xml version="1.0" encoding="utf-8"?>
<ds:datastoreItem xmlns:ds="http://schemas.openxmlformats.org/officeDocument/2006/customXml" ds:itemID="{32520F66-3270-4F93-844B-8DEC3482A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189958-CAD4-4927-A44D-54B6FAF69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3817</Words>
  <Characters>21758</Characters>
  <Application>Microsoft Office Word</Application>
  <DocSecurity>0</DocSecurity>
  <Lines>181</Lines>
  <Paragraphs>51</Paragraphs>
  <ScaleCrop>false</ScaleCrop>
  <Company/>
  <LinksUpToDate>false</LinksUpToDate>
  <CharactersWithSpaces>25524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Arora, Cmran (TR Foundation)</cp:lastModifiedBy>
  <cp:revision>7</cp:revision>
  <dcterms:created xsi:type="dcterms:W3CDTF">2026-07-01T19:55:00Z</dcterms:created>
  <dcterms:modified xsi:type="dcterms:W3CDTF">2026-07-14T07:00:00Z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